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2B" w:rsidRDefault="00B6741B" w:rsidP="009769FC">
      <w:pPr>
        <w:pStyle w:val="Title"/>
      </w:pPr>
      <w:r>
        <w:t>Supporting Online Material for “</w:t>
      </w:r>
      <w:r w:rsidRPr="00766923">
        <w:t xml:space="preserve">Global </w:t>
      </w:r>
      <w:r>
        <w:t xml:space="preserve">Fossil </w:t>
      </w:r>
      <w:r w:rsidRPr="00766923">
        <w:t>Energy Markets and Climate Change Mitigation – an analysis with ReMIND</w:t>
      </w:r>
      <w:r>
        <w:t xml:space="preserve">” </w:t>
      </w:r>
    </w:p>
    <w:p w:rsidR="00B6741B" w:rsidRPr="00821B91" w:rsidRDefault="00B6741B" w:rsidP="00B6741B">
      <w:pPr>
        <w:rPr>
          <w:i/>
        </w:rPr>
      </w:pPr>
      <w:r w:rsidRPr="00821B91">
        <w:rPr>
          <w:i/>
        </w:rPr>
        <w:t>Nico Bauer</w:t>
      </w:r>
      <w:r>
        <w:rPr>
          <w:rStyle w:val="FootnoteReference"/>
          <w:i/>
          <w:lang w:val="de-DE"/>
        </w:rPr>
        <w:footnoteReference w:id="1"/>
      </w:r>
      <w:r w:rsidRPr="00821B91">
        <w:rPr>
          <w:i/>
        </w:rPr>
        <w:t xml:space="preserve">, </w:t>
      </w:r>
      <w:proofErr w:type="spellStart"/>
      <w:r w:rsidRPr="00821B91">
        <w:rPr>
          <w:i/>
        </w:rPr>
        <w:t>Ioanna</w:t>
      </w:r>
      <w:proofErr w:type="spellEnd"/>
      <w:r w:rsidRPr="00821B91">
        <w:rPr>
          <w:i/>
        </w:rPr>
        <w:t xml:space="preserve"> </w:t>
      </w:r>
      <w:proofErr w:type="spellStart"/>
      <w:r w:rsidRPr="00821B91">
        <w:rPr>
          <w:i/>
        </w:rPr>
        <w:t>Mouratiadou</w:t>
      </w:r>
      <w:proofErr w:type="spellEnd"/>
      <w:r w:rsidR="00DE02A9" w:rsidRPr="00821B91">
        <w:rPr>
          <w:i/>
        </w:rPr>
        <w:t>, Gunnar Luderer</w:t>
      </w:r>
      <w:r w:rsidRPr="00821B91">
        <w:rPr>
          <w:i/>
        </w:rPr>
        <w:t xml:space="preserve">, Lavinia Baumstark, Robert Brecha, </w:t>
      </w:r>
      <w:proofErr w:type="spellStart"/>
      <w:r w:rsidR="00821B91" w:rsidRPr="00821B91">
        <w:rPr>
          <w:i/>
        </w:rPr>
        <w:t>Ottmar</w:t>
      </w:r>
      <w:proofErr w:type="spellEnd"/>
      <w:r w:rsidR="00821B91" w:rsidRPr="00821B91">
        <w:rPr>
          <w:i/>
        </w:rPr>
        <w:t xml:space="preserve"> Edenhofer, </w:t>
      </w:r>
      <w:proofErr w:type="spellStart"/>
      <w:r w:rsidRPr="00821B91">
        <w:rPr>
          <w:i/>
        </w:rPr>
        <w:t>Elmar</w:t>
      </w:r>
      <w:proofErr w:type="spellEnd"/>
      <w:r w:rsidRPr="00821B91">
        <w:rPr>
          <w:i/>
        </w:rPr>
        <w:t xml:space="preserve"> Kriegler</w:t>
      </w:r>
    </w:p>
    <w:p w:rsidR="00821B91" w:rsidRDefault="00821B91" w:rsidP="00C46C49">
      <w:pPr>
        <w:pStyle w:val="Heading1"/>
        <w:ind w:left="284" w:hanging="284"/>
      </w:pPr>
      <w:r>
        <w:t>Additional assumptions for the fossil fuel sector of the ReMIND model</w:t>
      </w:r>
      <w:r w:rsidR="00205BD6">
        <w:rPr>
          <w:rStyle w:val="FootnoteReference"/>
        </w:rPr>
        <w:footnoteReference w:id="2"/>
      </w:r>
    </w:p>
    <w:p w:rsidR="00821B91" w:rsidRDefault="00821B91" w:rsidP="00821B91">
      <w:r>
        <w:t>Table S1 presents the assumptions of the decline rates of oil and gas for different regions.</w:t>
      </w:r>
      <w:r w:rsidR="00591413">
        <w:t xml:space="preserve"> </w:t>
      </w:r>
      <w:r w:rsidR="002C3282">
        <w:t xml:space="preserve">Fossil fuels are differentiated into various economic grades that are defined by a maximum cumulative extraction, lower costs and upper costs as well as </w:t>
      </w:r>
      <w:r w:rsidR="00F47935">
        <w:t xml:space="preserve">annual </w:t>
      </w:r>
      <w:r w:rsidR="002C3282">
        <w:t xml:space="preserve">decline rates. </w:t>
      </w:r>
      <w:r w:rsidR="00F47935">
        <w:t xml:space="preserve">Grades are sorted by marginal extraction costs, see also Figure </w:t>
      </w:r>
      <w:r w:rsidR="0052701E">
        <w:t>S</w:t>
      </w:r>
      <w:r w:rsidR="00F47935">
        <w:t xml:space="preserve">1. </w:t>
      </w:r>
      <w:r w:rsidR="002C3282">
        <w:t>The decline rates are lower bounds on extraction from each grade.</w:t>
      </w:r>
      <w:r w:rsidR="00F47935">
        <w:t xml:space="preserve"> Hence, the production profile from each grade is constrained by the decline rate. The default value is 15% p.a. Table S1 lists</w:t>
      </w:r>
      <w:r w:rsidR="00666DF7">
        <w:t xml:space="preserve"> exceptions for oil and gas.</w:t>
      </w:r>
    </w:p>
    <w:p w:rsidR="00821B91" w:rsidRPr="00AD7F13" w:rsidRDefault="00821B91" w:rsidP="00821B91">
      <w:pPr>
        <w:pStyle w:val="Pa12"/>
        <w:ind w:left="284" w:hanging="284"/>
        <w:rPr>
          <w:rFonts w:asciiTheme="minorHAnsi" w:hAnsiTheme="minorHAnsi" w:cstheme="minorHAnsi"/>
          <w:i/>
          <w:color w:val="000000"/>
        </w:rPr>
      </w:pPr>
      <w:r w:rsidRPr="00AD7F13">
        <w:rPr>
          <w:rFonts w:asciiTheme="minorHAnsi" w:hAnsiTheme="minorHAnsi" w:cstheme="minorHAnsi"/>
          <w:i/>
          <w:color w:val="000000"/>
        </w:rPr>
        <w:t xml:space="preserve">Table </w:t>
      </w:r>
      <w:r>
        <w:rPr>
          <w:rFonts w:asciiTheme="minorHAnsi" w:hAnsiTheme="minorHAnsi" w:cstheme="minorHAnsi"/>
          <w:i/>
          <w:color w:val="000000"/>
        </w:rPr>
        <w:t>S</w:t>
      </w:r>
      <w:r w:rsidRPr="00AD7F13">
        <w:rPr>
          <w:rFonts w:asciiTheme="minorHAnsi" w:hAnsiTheme="minorHAnsi" w:cstheme="minorHAnsi"/>
          <w:i/>
          <w:color w:val="000000"/>
        </w:rPr>
        <w:t>1</w:t>
      </w:r>
      <w:r>
        <w:rPr>
          <w:rFonts w:asciiTheme="minorHAnsi" w:hAnsiTheme="minorHAnsi" w:cstheme="minorHAnsi"/>
          <w:i/>
          <w:color w:val="000000"/>
        </w:rPr>
        <w:t>: D</w:t>
      </w:r>
      <w:r w:rsidRPr="00AD7F13">
        <w:rPr>
          <w:rFonts w:asciiTheme="minorHAnsi" w:hAnsiTheme="minorHAnsi" w:cstheme="minorHAnsi"/>
          <w:i/>
          <w:color w:val="000000"/>
        </w:rPr>
        <w:t xml:space="preserve">ecline rates </w:t>
      </w:r>
      <w:r>
        <w:rPr>
          <w:rFonts w:asciiTheme="minorHAnsi" w:hAnsiTheme="minorHAnsi" w:cstheme="minorHAnsi"/>
          <w:i/>
          <w:color w:val="000000"/>
        </w:rPr>
        <w:t xml:space="preserve">in percent per year </w:t>
      </w:r>
      <w:r w:rsidRPr="00AD7F13">
        <w:rPr>
          <w:rFonts w:asciiTheme="minorHAnsi" w:hAnsiTheme="minorHAnsi" w:cstheme="minorHAnsi"/>
          <w:i/>
          <w:color w:val="000000"/>
        </w:rPr>
        <w:t>of oil and gas per grade and region; source IEA (2008, 2009).</w:t>
      </w:r>
    </w:p>
    <w:tbl>
      <w:tblPr>
        <w:tblStyle w:val="MediumShading1-Accent1"/>
        <w:tblW w:w="0" w:type="auto"/>
        <w:jc w:val="center"/>
        <w:tblLook w:val="04A0" w:firstRow="1" w:lastRow="0" w:firstColumn="1" w:lastColumn="0" w:noHBand="0" w:noVBand="1"/>
      </w:tblPr>
      <w:tblGrid>
        <w:gridCol w:w="1101"/>
        <w:gridCol w:w="813"/>
        <w:gridCol w:w="957"/>
        <w:gridCol w:w="957"/>
        <w:gridCol w:w="391"/>
        <w:gridCol w:w="642"/>
        <w:gridCol w:w="851"/>
      </w:tblGrid>
      <w:tr w:rsidR="00821B91" w:rsidTr="004C33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Pr>
          <w:p w:rsidR="00821B91" w:rsidRPr="00AD7F13" w:rsidRDefault="00821B91" w:rsidP="004C33FF">
            <w:pPr>
              <w:rPr>
                <w:rFonts w:ascii="Arial" w:hAnsi="Arial" w:cs="Arial"/>
              </w:rPr>
            </w:pPr>
          </w:p>
        </w:tc>
        <w:tc>
          <w:tcPr>
            <w:tcW w:w="2727" w:type="dxa"/>
            <w:gridSpan w:val="3"/>
          </w:tcPr>
          <w:p w:rsidR="00821B91" w:rsidRPr="00AD7F13" w:rsidRDefault="00821B91" w:rsidP="004C33F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D7F13">
              <w:rPr>
                <w:rFonts w:ascii="Arial" w:hAnsi="Arial" w:cs="Arial"/>
              </w:rPr>
              <w:t>Oil</w:t>
            </w:r>
          </w:p>
        </w:tc>
        <w:tc>
          <w:tcPr>
            <w:tcW w:w="391" w:type="dxa"/>
          </w:tcPr>
          <w:p w:rsidR="00821B91" w:rsidRPr="00AD7F13" w:rsidRDefault="00821B91" w:rsidP="004C33F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493" w:type="dxa"/>
            <w:gridSpan w:val="2"/>
          </w:tcPr>
          <w:p w:rsidR="00821B91" w:rsidRDefault="00821B91" w:rsidP="004C33FF">
            <w:pPr>
              <w:jc w:val="center"/>
              <w:cnfStyle w:val="100000000000" w:firstRow="1" w:lastRow="0" w:firstColumn="0" w:lastColumn="0" w:oddVBand="0" w:evenVBand="0" w:oddHBand="0" w:evenHBand="0" w:firstRowFirstColumn="0" w:firstRowLastColumn="0" w:lastRowFirstColumn="0" w:lastRowLastColumn="0"/>
            </w:pPr>
            <w:r w:rsidRPr="00AD7F13">
              <w:rPr>
                <w:rFonts w:ascii="Arial" w:hAnsi="Arial" w:cs="Arial"/>
              </w:rPr>
              <w:t>Gas</w:t>
            </w:r>
          </w:p>
        </w:tc>
      </w:tr>
      <w:tr w:rsidR="00821B91" w:rsidTr="004C33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shd w:val="clear" w:color="auto" w:fill="4F81BD" w:themeFill="accent1"/>
          </w:tcPr>
          <w:p w:rsidR="00821B91" w:rsidRPr="00AD7F13" w:rsidRDefault="00821B91" w:rsidP="004C33FF">
            <w:pPr>
              <w:rPr>
                <w:rFonts w:ascii="Arial" w:hAnsi="Arial" w:cs="Arial"/>
              </w:rPr>
            </w:pPr>
            <w:r w:rsidRPr="00AD7F13">
              <w:rPr>
                <w:rFonts w:ascii="Arial" w:hAnsi="Arial" w:cs="Arial"/>
                <w:color w:val="FFFFFF" w:themeColor="background1"/>
              </w:rPr>
              <w:t>Grade</w:t>
            </w:r>
          </w:p>
        </w:tc>
        <w:tc>
          <w:tcPr>
            <w:tcW w:w="813" w:type="dxa"/>
            <w:shd w:val="clear" w:color="auto" w:fill="4F81BD" w:themeFill="accent1"/>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AD7F13">
              <w:rPr>
                <w:rFonts w:ascii="Arial" w:hAnsi="Arial" w:cs="Arial"/>
                <w:color w:val="FFFFFF" w:themeColor="background1"/>
              </w:rPr>
              <w:t>1</w:t>
            </w:r>
          </w:p>
        </w:tc>
        <w:tc>
          <w:tcPr>
            <w:tcW w:w="957" w:type="dxa"/>
            <w:shd w:val="clear" w:color="auto" w:fill="4F81BD" w:themeFill="accent1"/>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AD7F13">
              <w:rPr>
                <w:rFonts w:ascii="Arial" w:hAnsi="Arial" w:cs="Arial"/>
                <w:color w:val="FFFFFF" w:themeColor="background1"/>
              </w:rPr>
              <w:t>2</w:t>
            </w:r>
          </w:p>
        </w:tc>
        <w:tc>
          <w:tcPr>
            <w:tcW w:w="957" w:type="dxa"/>
            <w:shd w:val="clear" w:color="auto" w:fill="4F81BD" w:themeFill="accent1"/>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AD7F13">
              <w:rPr>
                <w:rFonts w:ascii="Arial" w:hAnsi="Arial" w:cs="Arial"/>
                <w:color w:val="FFFFFF" w:themeColor="background1"/>
              </w:rPr>
              <w:t>3</w:t>
            </w:r>
          </w:p>
        </w:tc>
        <w:tc>
          <w:tcPr>
            <w:tcW w:w="391" w:type="dxa"/>
            <w:shd w:val="clear" w:color="auto" w:fill="4F81BD" w:themeFill="accent1"/>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p>
        </w:tc>
        <w:tc>
          <w:tcPr>
            <w:tcW w:w="642" w:type="dxa"/>
            <w:shd w:val="clear" w:color="auto" w:fill="4F81BD" w:themeFill="accent1"/>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AD7F13">
              <w:rPr>
                <w:rFonts w:ascii="Arial" w:hAnsi="Arial" w:cs="Arial"/>
                <w:color w:val="FFFFFF" w:themeColor="background1"/>
              </w:rPr>
              <w:t>1</w:t>
            </w:r>
          </w:p>
        </w:tc>
        <w:tc>
          <w:tcPr>
            <w:tcW w:w="851" w:type="dxa"/>
            <w:shd w:val="clear" w:color="auto" w:fill="4F81BD" w:themeFill="accent1"/>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AD7F13">
              <w:rPr>
                <w:rFonts w:ascii="Arial" w:hAnsi="Arial" w:cs="Arial"/>
                <w:color w:val="FFFFFF" w:themeColor="background1"/>
              </w:rPr>
              <w:t>2</w:t>
            </w:r>
          </w:p>
        </w:tc>
      </w:tr>
      <w:tr w:rsidR="00821B91" w:rsidTr="004C33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Pr>
          <w:p w:rsidR="00821B91" w:rsidRPr="00AD7F13" w:rsidRDefault="00821B91" w:rsidP="004C33FF">
            <w:pPr>
              <w:rPr>
                <w:rFonts w:cstheme="minorHAnsi"/>
              </w:rPr>
            </w:pPr>
            <w:r w:rsidRPr="00AD7F13">
              <w:rPr>
                <w:rFonts w:cstheme="minorHAnsi"/>
              </w:rPr>
              <w:t>MEA</w:t>
            </w:r>
          </w:p>
        </w:tc>
        <w:tc>
          <w:tcPr>
            <w:tcW w:w="813"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3.4</w:t>
            </w:r>
          </w:p>
        </w:tc>
        <w:tc>
          <w:tcPr>
            <w:tcW w:w="957"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3.4</w:t>
            </w:r>
          </w:p>
        </w:tc>
        <w:tc>
          <w:tcPr>
            <w:tcW w:w="957"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8</w:t>
            </w:r>
          </w:p>
        </w:tc>
        <w:tc>
          <w:tcPr>
            <w:tcW w:w="391"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42"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4.1</w:t>
            </w:r>
          </w:p>
        </w:tc>
        <w:tc>
          <w:tcPr>
            <w:tcW w:w="851"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4.1</w:t>
            </w:r>
          </w:p>
        </w:tc>
      </w:tr>
      <w:tr w:rsidR="00821B91" w:rsidTr="004C33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Pr>
          <w:p w:rsidR="00821B91" w:rsidRPr="00AD7F13" w:rsidRDefault="00821B91" w:rsidP="004C33FF">
            <w:pPr>
              <w:rPr>
                <w:rFonts w:cstheme="minorHAnsi"/>
              </w:rPr>
            </w:pPr>
            <w:r w:rsidRPr="00AD7F13">
              <w:rPr>
                <w:rFonts w:cstheme="minorHAnsi"/>
              </w:rPr>
              <w:t>RUS</w:t>
            </w:r>
          </w:p>
        </w:tc>
        <w:tc>
          <w:tcPr>
            <w:tcW w:w="813"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5.8</w:t>
            </w:r>
          </w:p>
        </w:tc>
        <w:tc>
          <w:tcPr>
            <w:tcW w:w="957"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5.8</w:t>
            </w:r>
          </w:p>
        </w:tc>
        <w:tc>
          <w:tcPr>
            <w:tcW w:w="957"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8</w:t>
            </w:r>
          </w:p>
        </w:tc>
        <w:tc>
          <w:tcPr>
            <w:tcW w:w="391"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42"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4.1</w:t>
            </w:r>
          </w:p>
        </w:tc>
        <w:tc>
          <w:tcPr>
            <w:tcW w:w="851"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4.1</w:t>
            </w:r>
          </w:p>
        </w:tc>
      </w:tr>
      <w:tr w:rsidR="00821B91" w:rsidTr="004C33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Pr>
          <w:p w:rsidR="00821B91" w:rsidRPr="00AD7F13" w:rsidRDefault="00821B91" w:rsidP="004C33FF">
            <w:pPr>
              <w:rPr>
                <w:rFonts w:cstheme="minorHAnsi"/>
              </w:rPr>
            </w:pPr>
            <w:r w:rsidRPr="00AD7F13">
              <w:rPr>
                <w:rFonts w:cstheme="minorHAnsi"/>
              </w:rPr>
              <w:t>LAM</w:t>
            </w:r>
          </w:p>
        </w:tc>
        <w:tc>
          <w:tcPr>
            <w:tcW w:w="813"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6.6</w:t>
            </w:r>
          </w:p>
        </w:tc>
        <w:tc>
          <w:tcPr>
            <w:tcW w:w="957"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6.6</w:t>
            </w:r>
          </w:p>
        </w:tc>
        <w:tc>
          <w:tcPr>
            <w:tcW w:w="957"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8</w:t>
            </w:r>
          </w:p>
        </w:tc>
        <w:tc>
          <w:tcPr>
            <w:tcW w:w="391"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42"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11.1</w:t>
            </w:r>
          </w:p>
        </w:tc>
        <w:tc>
          <w:tcPr>
            <w:tcW w:w="851"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11.1</w:t>
            </w:r>
          </w:p>
        </w:tc>
      </w:tr>
      <w:tr w:rsidR="00821B91" w:rsidTr="004C33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Pr>
          <w:p w:rsidR="00821B91" w:rsidRPr="00AD7F13" w:rsidRDefault="00821B91" w:rsidP="004C33FF">
            <w:pPr>
              <w:rPr>
                <w:rFonts w:cstheme="minorHAnsi"/>
              </w:rPr>
            </w:pPr>
            <w:r w:rsidRPr="00AD7F13">
              <w:rPr>
                <w:rFonts w:cstheme="minorHAnsi"/>
              </w:rPr>
              <w:t>USA</w:t>
            </w:r>
          </w:p>
        </w:tc>
        <w:tc>
          <w:tcPr>
            <w:tcW w:w="813"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9.7</w:t>
            </w:r>
          </w:p>
        </w:tc>
        <w:tc>
          <w:tcPr>
            <w:tcW w:w="957"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9.7</w:t>
            </w:r>
          </w:p>
        </w:tc>
        <w:tc>
          <w:tcPr>
            <w:tcW w:w="957"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9.7</w:t>
            </w:r>
          </w:p>
        </w:tc>
        <w:tc>
          <w:tcPr>
            <w:tcW w:w="391"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42"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11.1</w:t>
            </w:r>
          </w:p>
        </w:tc>
        <w:tc>
          <w:tcPr>
            <w:tcW w:w="851"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11.1</w:t>
            </w:r>
          </w:p>
        </w:tc>
      </w:tr>
      <w:tr w:rsidR="00821B91" w:rsidTr="004C33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Pr>
          <w:p w:rsidR="00821B91" w:rsidRPr="00AD7F13" w:rsidRDefault="00821B91" w:rsidP="004C33FF">
            <w:pPr>
              <w:rPr>
                <w:rFonts w:cstheme="minorHAnsi"/>
              </w:rPr>
            </w:pPr>
            <w:r w:rsidRPr="00AD7F13">
              <w:rPr>
                <w:rFonts w:cstheme="minorHAnsi"/>
              </w:rPr>
              <w:t>EUR</w:t>
            </w:r>
          </w:p>
        </w:tc>
        <w:tc>
          <w:tcPr>
            <w:tcW w:w="813"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11.9</w:t>
            </w:r>
          </w:p>
        </w:tc>
        <w:tc>
          <w:tcPr>
            <w:tcW w:w="957"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11.9</w:t>
            </w:r>
          </w:p>
        </w:tc>
        <w:tc>
          <w:tcPr>
            <w:tcW w:w="957"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11.9</w:t>
            </w:r>
          </w:p>
        </w:tc>
        <w:tc>
          <w:tcPr>
            <w:tcW w:w="391"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42"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11.1</w:t>
            </w:r>
          </w:p>
        </w:tc>
        <w:tc>
          <w:tcPr>
            <w:tcW w:w="851"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11.1</w:t>
            </w:r>
          </w:p>
        </w:tc>
      </w:tr>
      <w:tr w:rsidR="00821B91" w:rsidTr="004C33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Pr>
          <w:p w:rsidR="00821B91" w:rsidRPr="00AD7F13" w:rsidRDefault="00821B91" w:rsidP="004C33FF">
            <w:pPr>
              <w:rPr>
                <w:rFonts w:cstheme="minorHAnsi"/>
              </w:rPr>
            </w:pPr>
            <w:r w:rsidRPr="00AD7F13">
              <w:rPr>
                <w:rFonts w:cstheme="minorHAnsi"/>
              </w:rPr>
              <w:t>AFR</w:t>
            </w:r>
          </w:p>
        </w:tc>
        <w:tc>
          <w:tcPr>
            <w:tcW w:w="813"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6.8</w:t>
            </w:r>
          </w:p>
        </w:tc>
        <w:tc>
          <w:tcPr>
            <w:tcW w:w="957"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6.8</w:t>
            </w:r>
          </w:p>
        </w:tc>
        <w:tc>
          <w:tcPr>
            <w:tcW w:w="957"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8</w:t>
            </w:r>
          </w:p>
        </w:tc>
        <w:tc>
          <w:tcPr>
            <w:tcW w:w="391"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42"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8.2</w:t>
            </w:r>
          </w:p>
        </w:tc>
        <w:tc>
          <w:tcPr>
            <w:tcW w:w="851"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8.2</w:t>
            </w:r>
          </w:p>
        </w:tc>
      </w:tr>
      <w:tr w:rsidR="00821B91" w:rsidTr="004C33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Pr>
          <w:p w:rsidR="00821B91" w:rsidRPr="00AD7F13" w:rsidRDefault="00821B91" w:rsidP="004C33FF">
            <w:pPr>
              <w:rPr>
                <w:rFonts w:cstheme="minorHAnsi"/>
              </w:rPr>
            </w:pPr>
            <w:r w:rsidRPr="00AD7F13">
              <w:rPr>
                <w:rFonts w:cstheme="minorHAnsi"/>
              </w:rPr>
              <w:t>CHN</w:t>
            </w:r>
          </w:p>
        </w:tc>
        <w:tc>
          <w:tcPr>
            <w:tcW w:w="813"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6.7</w:t>
            </w:r>
          </w:p>
        </w:tc>
        <w:tc>
          <w:tcPr>
            <w:tcW w:w="957"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6.7</w:t>
            </w:r>
          </w:p>
        </w:tc>
        <w:tc>
          <w:tcPr>
            <w:tcW w:w="957"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9</w:t>
            </w:r>
          </w:p>
        </w:tc>
        <w:tc>
          <w:tcPr>
            <w:tcW w:w="391"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42"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8.2</w:t>
            </w:r>
          </w:p>
        </w:tc>
        <w:tc>
          <w:tcPr>
            <w:tcW w:w="851"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8.2</w:t>
            </w:r>
          </w:p>
        </w:tc>
      </w:tr>
      <w:tr w:rsidR="00821B91" w:rsidTr="004C33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Pr>
          <w:p w:rsidR="00821B91" w:rsidRPr="00AD7F13" w:rsidRDefault="00821B91" w:rsidP="004C33FF">
            <w:pPr>
              <w:rPr>
                <w:rFonts w:cstheme="minorHAnsi"/>
              </w:rPr>
            </w:pPr>
            <w:r w:rsidRPr="00AD7F13">
              <w:rPr>
                <w:rFonts w:cstheme="minorHAnsi"/>
              </w:rPr>
              <w:t>IND</w:t>
            </w:r>
          </w:p>
        </w:tc>
        <w:tc>
          <w:tcPr>
            <w:tcW w:w="813"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6.7</w:t>
            </w:r>
          </w:p>
        </w:tc>
        <w:tc>
          <w:tcPr>
            <w:tcW w:w="957"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6.7</w:t>
            </w:r>
          </w:p>
        </w:tc>
        <w:tc>
          <w:tcPr>
            <w:tcW w:w="957"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8</w:t>
            </w:r>
          </w:p>
        </w:tc>
        <w:tc>
          <w:tcPr>
            <w:tcW w:w="391"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42"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8.2</w:t>
            </w:r>
          </w:p>
        </w:tc>
        <w:tc>
          <w:tcPr>
            <w:tcW w:w="851"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8.2</w:t>
            </w:r>
          </w:p>
        </w:tc>
      </w:tr>
      <w:tr w:rsidR="00821B91" w:rsidTr="004C33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Pr>
          <w:p w:rsidR="00821B91" w:rsidRPr="00AD7F13" w:rsidRDefault="00821B91" w:rsidP="004C33FF">
            <w:pPr>
              <w:rPr>
                <w:rFonts w:cstheme="minorHAnsi"/>
              </w:rPr>
            </w:pPr>
            <w:r w:rsidRPr="00AD7F13">
              <w:rPr>
                <w:rFonts w:cstheme="minorHAnsi"/>
              </w:rPr>
              <w:t>JPN</w:t>
            </w:r>
          </w:p>
        </w:tc>
        <w:tc>
          <w:tcPr>
            <w:tcW w:w="813"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12.6</w:t>
            </w:r>
          </w:p>
        </w:tc>
        <w:tc>
          <w:tcPr>
            <w:tcW w:w="957"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12.6</w:t>
            </w:r>
          </w:p>
        </w:tc>
        <w:tc>
          <w:tcPr>
            <w:tcW w:w="957"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12.6</w:t>
            </w:r>
          </w:p>
        </w:tc>
        <w:tc>
          <w:tcPr>
            <w:tcW w:w="391"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42"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11.1</w:t>
            </w:r>
          </w:p>
        </w:tc>
        <w:tc>
          <w:tcPr>
            <w:tcW w:w="851"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11.1</w:t>
            </w:r>
          </w:p>
        </w:tc>
      </w:tr>
      <w:tr w:rsidR="00821B91" w:rsidTr="004C33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Pr>
          <w:p w:rsidR="00821B91" w:rsidRPr="00AD7F13" w:rsidRDefault="00821B91" w:rsidP="004C33FF">
            <w:pPr>
              <w:rPr>
                <w:rFonts w:cstheme="minorHAnsi"/>
              </w:rPr>
            </w:pPr>
            <w:r w:rsidRPr="00AD7F13">
              <w:rPr>
                <w:rFonts w:cstheme="minorHAnsi"/>
              </w:rPr>
              <w:t>OAS</w:t>
            </w:r>
          </w:p>
        </w:tc>
        <w:tc>
          <w:tcPr>
            <w:tcW w:w="813"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6.7</w:t>
            </w:r>
          </w:p>
        </w:tc>
        <w:tc>
          <w:tcPr>
            <w:tcW w:w="957"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6.7</w:t>
            </w:r>
          </w:p>
        </w:tc>
        <w:tc>
          <w:tcPr>
            <w:tcW w:w="957"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8</w:t>
            </w:r>
          </w:p>
        </w:tc>
        <w:tc>
          <w:tcPr>
            <w:tcW w:w="391"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642"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8.2</w:t>
            </w:r>
          </w:p>
        </w:tc>
        <w:tc>
          <w:tcPr>
            <w:tcW w:w="851" w:type="dxa"/>
          </w:tcPr>
          <w:p w:rsidR="00821B91" w:rsidRPr="00AD7F13" w:rsidRDefault="00821B91" w:rsidP="004C33F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7F13">
              <w:rPr>
                <w:rFonts w:cstheme="minorHAnsi"/>
              </w:rPr>
              <w:t>8.2</w:t>
            </w:r>
          </w:p>
        </w:tc>
      </w:tr>
      <w:tr w:rsidR="00821B91" w:rsidTr="004C33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1" w:type="dxa"/>
          </w:tcPr>
          <w:p w:rsidR="00821B91" w:rsidRPr="00AD7F13" w:rsidRDefault="00821B91" w:rsidP="004C33FF">
            <w:pPr>
              <w:rPr>
                <w:rFonts w:cstheme="minorHAnsi"/>
              </w:rPr>
            </w:pPr>
            <w:r w:rsidRPr="00AD7F13">
              <w:rPr>
                <w:rFonts w:cstheme="minorHAnsi"/>
              </w:rPr>
              <w:t>ROW</w:t>
            </w:r>
          </w:p>
        </w:tc>
        <w:tc>
          <w:tcPr>
            <w:tcW w:w="813"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6.7</w:t>
            </w:r>
          </w:p>
        </w:tc>
        <w:tc>
          <w:tcPr>
            <w:tcW w:w="957"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6.7</w:t>
            </w:r>
          </w:p>
        </w:tc>
        <w:tc>
          <w:tcPr>
            <w:tcW w:w="957"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9</w:t>
            </w:r>
          </w:p>
        </w:tc>
        <w:tc>
          <w:tcPr>
            <w:tcW w:w="391"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642"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11.1</w:t>
            </w:r>
          </w:p>
        </w:tc>
        <w:tc>
          <w:tcPr>
            <w:tcW w:w="851" w:type="dxa"/>
          </w:tcPr>
          <w:p w:rsidR="00821B91" w:rsidRPr="00AD7F13" w:rsidRDefault="00821B91" w:rsidP="004C33FF">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AD7F13">
              <w:rPr>
                <w:rFonts w:cstheme="minorHAnsi"/>
              </w:rPr>
              <w:t>11.1</w:t>
            </w:r>
          </w:p>
        </w:tc>
      </w:tr>
    </w:tbl>
    <w:p w:rsidR="00821B91" w:rsidRDefault="00821B91" w:rsidP="00821B91"/>
    <w:p w:rsidR="00821B91" w:rsidRDefault="00821B91">
      <w:r>
        <w:br w:type="page"/>
      </w:r>
    </w:p>
    <w:p w:rsidR="00821B91" w:rsidRDefault="00821B91" w:rsidP="00821B91">
      <w:r>
        <w:lastRenderedPageBreak/>
        <w:t xml:space="preserve">Table S2 presents the assumptions for the techno-economic assumptions for fossil fuel </w:t>
      </w:r>
      <w:r w:rsidR="0020173F">
        <w:t>trade costs</w:t>
      </w:r>
      <w:r w:rsidR="0052701E">
        <w:t xml:space="preserve"> as implemented in REMIND</w:t>
      </w:r>
      <w:r>
        <w:t>.</w:t>
      </w:r>
      <w:r w:rsidR="0020173F">
        <w:t xml:space="preserve"> The 12% energy loss that comes from LNG trade and that is independent of distance is due to liquefaction. </w:t>
      </w:r>
    </w:p>
    <w:p w:rsidR="00821B91" w:rsidRPr="00AD7F13" w:rsidRDefault="00821B91" w:rsidP="00821B91">
      <w:pPr>
        <w:rPr>
          <w:rFonts w:cstheme="minorHAnsi"/>
          <w:i/>
        </w:rPr>
      </w:pPr>
      <w:r w:rsidRPr="00AD7F13">
        <w:rPr>
          <w:rFonts w:cstheme="minorHAnsi"/>
          <w:i/>
        </w:rPr>
        <w:t xml:space="preserve">Table </w:t>
      </w:r>
      <w:r>
        <w:rPr>
          <w:rFonts w:cstheme="minorHAnsi"/>
          <w:i/>
        </w:rPr>
        <w:t>S</w:t>
      </w:r>
      <w:r w:rsidRPr="00AD7F13">
        <w:rPr>
          <w:rFonts w:cstheme="minorHAnsi"/>
          <w:i/>
        </w:rPr>
        <w:t>2: Parameters of trading costs. See Lüken (2011, Ch.5) and references therein.</w:t>
      </w:r>
    </w:p>
    <w:tbl>
      <w:tblPr>
        <w:tblStyle w:val="MediumShading1-Accent1"/>
        <w:tblW w:w="0" w:type="auto"/>
        <w:tblLook w:val="04A0" w:firstRow="1" w:lastRow="0" w:firstColumn="1" w:lastColumn="0" w:noHBand="0" w:noVBand="1"/>
      </w:tblPr>
      <w:tblGrid>
        <w:gridCol w:w="3369"/>
        <w:gridCol w:w="1984"/>
        <w:gridCol w:w="1276"/>
        <w:gridCol w:w="1559"/>
        <w:gridCol w:w="1388"/>
      </w:tblGrid>
      <w:tr w:rsidR="00821B91" w:rsidRPr="004C5942" w:rsidTr="004C3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21B91" w:rsidRPr="004C5942" w:rsidRDefault="00821B91" w:rsidP="004C33FF">
            <w:pPr>
              <w:rPr>
                <w:rFonts w:ascii="Calibri" w:hAnsi="Calibri" w:cs="Calibri"/>
              </w:rPr>
            </w:pPr>
          </w:p>
        </w:tc>
        <w:tc>
          <w:tcPr>
            <w:tcW w:w="3260" w:type="dxa"/>
            <w:gridSpan w:val="2"/>
          </w:tcPr>
          <w:p w:rsidR="00821B91" w:rsidRPr="004C5942" w:rsidRDefault="00821B91" w:rsidP="004C33F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4C5942">
              <w:rPr>
                <w:rFonts w:ascii="Calibri" w:hAnsi="Calibri" w:cs="Calibri"/>
              </w:rPr>
              <w:t>Financial costs</w:t>
            </w:r>
          </w:p>
        </w:tc>
        <w:tc>
          <w:tcPr>
            <w:tcW w:w="2947" w:type="dxa"/>
            <w:gridSpan w:val="2"/>
          </w:tcPr>
          <w:p w:rsidR="00821B91" w:rsidRPr="004C5942" w:rsidRDefault="00821B91" w:rsidP="004C33F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4C5942">
              <w:rPr>
                <w:rFonts w:ascii="Calibri" w:hAnsi="Calibri" w:cs="Calibri"/>
              </w:rPr>
              <w:t>Energy losses</w:t>
            </w:r>
          </w:p>
        </w:tc>
      </w:tr>
      <w:tr w:rsidR="00821B91" w:rsidRPr="004C5942" w:rsidTr="004C3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21B91" w:rsidRPr="004C5942" w:rsidRDefault="00821B91" w:rsidP="004C33FF">
            <w:pPr>
              <w:rPr>
                <w:rFonts w:ascii="Calibri" w:hAnsi="Calibri" w:cs="Calibri"/>
              </w:rPr>
            </w:pPr>
          </w:p>
        </w:tc>
        <w:tc>
          <w:tcPr>
            <w:tcW w:w="1984" w:type="dxa"/>
          </w:tcPr>
          <w:p w:rsidR="00821B91" w:rsidRPr="004C5942" w:rsidRDefault="00821B91" w:rsidP="004C33F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C5942">
              <w:rPr>
                <w:rFonts w:ascii="Calibri" w:hAnsi="Calibri" w:cs="Calibri"/>
                <w:sz w:val="18"/>
                <w:szCs w:val="18"/>
              </w:rPr>
              <w:t xml:space="preserve">Depending </w:t>
            </w:r>
            <w:r>
              <w:rPr>
                <w:rFonts w:ascii="Calibri" w:hAnsi="Calibri" w:cs="Calibri"/>
                <w:sz w:val="18"/>
                <w:szCs w:val="18"/>
              </w:rPr>
              <w:br/>
            </w:r>
            <w:r w:rsidRPr="004C5942">
              <w:rPr>
                <w:rFonts w:ascii="Calibri" w:hAnsi="Calibri" w:cs="Calibri"/>
                <w:sz w:val="18"/>
                <w:szCs w:val="18"/>
              </w:rPr>
              <w:t>on distance</w:t>
            </w:r>
          </w:p>
        </w:tc>
        <w:tc>
          <w:tcPr>
            <w:tcW w:w="1276" w:type="dxa"/>
          </w:tcPr>
          <w:p w:rsidR="00821B91" w:rsidRPr="004C5942" w:rsidRDefault="00821B91" w:rsidP="004C33F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C5942">
              <w:rPr>
                <w:rFonts w:ascii="Calibri" w:hAnsi="Calibri" w:cs="Calibri"/>
                <w:sz w:val="18"/>
                <w:szCs w:val="18"/>
              </w:rPr>
              <w:t>Independent</w:t>
            </w:r>
            <w:r>
              <w:rPr>
                <w:rFonts w:ascii="Calibri" w:hAnsi="Calibri" w:cs="Calibri"/>
                <w:sz w:val="18"/>
                <w:szCs w:val="18"/>
              </w:rPr>
              <w:br/>
            </w:r>
            <w:r w:rsidRPr="004C5942">
              <w:rPr>
                <w:rFonts w:ascii="Calibri" w:hAnsi="Calibri" w:cs="Calibri"/>
                <w:sz w:val="18"/>
                <w:szCs w:val="18"/>
              </w:rPr>
              <w:t>of distance</w:t>
            </w:r>
          </w:p>
        </w:tc>
        <w:tc>
          <w:tcPr>
            <w:tcW w:w="1559" w:type="dxa"/>
          </w:tcPr>
          <w:p w:rsidR="00821B91" w:rsidRPr="004C5942" w:rsidRDefault="00821B91" w:rsidP="004C33F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C5942">
              <w:rPr>
                <w:rFonts w:ascii="Calibri" w:hAnsi="Calibri" w:cs="Calibri"/>
                <w:sz w:val="18"/>
                <w:szCs w:val="18"/>
              </w:rPr>
              <w:t xml:space="preserve">Depending </w:t>
            </w:r>
            <w:r>
              <w:rPr>
                <w:rFonts w:ascii="Calibri" w:hAnsi="Calibri" w:cs="Calibri"/>
                <w:sz w:val="18"/>
                <w:szCs w:val="18"/>
              </w:rPr>
              <w:br/>
            </w:r>
            <w:r w:rsidRPr="004C5942">
              <w:rPr>
                <w:rFonts w:ascii="Calibri" w:hAnsi="Calibri" w:cs="Calibri"/>
                <w:sz w:val="18"/>
                <w:szCs w:val="18"/>
              </w:rPr>
              <w:t>on distance</w:t>
            </w:r>
          </w:p>
        </w:tc>
        <w:tc>
          <w:tcPr>
            <w:tcW w:w="1388" w:type="dxa"/>
          </w:tcPr>
          <w:p w:rsidR="00821B91" w:rsidRPr="004C5942" w:rsidRDefault="00821B91" w:rsidP="004C33F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C5942">
              <w:rPr>
                <w:rFonts w:ascii="Calibri" w:hAnsi="Calibri" w:cs="Calibri"/>
                <w:sz w:val="18"/>
                <w:szCs w:val="18"/>
              </w:rPr>
              <w:t xml:space="preserve">Independent </w:t>
            </w:r>
            <w:r>
              <w:rPr>
                <w:rFonts w:ascii="Calibri" w:hAnsi="Calibri" w:cs="Calibri"/>
                <w:sz w:val="18"/>
                <w:szCs w:val="18"/>
              </w:rPr>
              <w:br/>
            </w:r>
            <w:r w:rsidRPr="004C5942">
              <w:rPr>
                <w:rFonts w:ascii="Calibri" w:hAnsi="Calibri" w:cs="Calibri"/>
                <w:sz w:val="18"/>
                <w:szCs w:val="18"/>
              </w:rPr>
              <w:t>of distance</w:t>
            </w:r>
          </w:p>
        </w:tc>
      </w:tr>
      <w:tr w:rsidR="00821B91" w:rsidRPr="004C5942" w:rsidTr="004C33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21B91" w:rsidRPr="004C5942" w:rsidRDefault="00821B91" w:rsidP="004C33FF">
            <w:pPr>
              <w:rPr>
                <w:rFonts w:ascii="Calibri" w:hAnsi="Calibri" w:cs="Calibri"/>
              </w:rPr>
            </w:pPr>
          </w:p>
        </w:tc>
        <w:tc>
          <w:tcPr>
            <w:tcW w:w="1984" w:type="dxa"/>
          </w:tcPr>
          <w:p w:rsidR="00821B91" w:rsidRPr="004C5942" w:rsidRDefault="00821B91" w:rsidP="004C33FF">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US$/</w:t>
            </w:r>
            <w:r w:rsidRPr="004C5942">
              <w:rPr>
                <w:rFonts w:ascii="Calibri" w:hAnsi="Calibri" w:cs="Calibri"/>
                <w:sz w:val="20"/>
                <w:szCs w:val="20"/>
              </w:rPr>
              <w:t>GJ</w:t>
            </w:r>
            <w:r>
              <w:rPr>
                <w:rFonts w:ascii="Calibri" w:hAnsi="Calibri" w:cs="Calibri"/>
                <w:sz w:val="20"/>
                <w:szCs w:val="20"/>
              </w:rPr>
              <w:t>*</w:t>
            </w:r>
            <w:r w:rsidRPr="004C5942">
              <w:rPr>
                <w:rFonts w:ascii="Calibri" w:hAnsi="Calibri" w:cs="Calibri"/>
                <w:sz w:val="20"/>
                <w:szCs w:val="20"/>
              </w:rPr>
              <w:t>1000km</w:t>
            </w:r>
          </w:p>
        </w:tc>
        <w:tc>
          <w:tcPr>
            <w:tcW w:w="1276" w:type="dxa"/>
          </w:tcPr>
          <w:p w:rsidR="00821B91" w:rsidRPr="004C5942" w:rsidRDefault="00821B91" w:rsidP="004C33FF">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US$/</w:t>
            </w:r>
            <w:r w:rsidRPr="004C5942">
              <w:rPr>
                <w:rFonts w:ascii="Calibri" w:hAnsi="Calibri" w:cs="Calibri"/>
                <w:sz w:val="20"/>
                <w:szCs w:val="20"/>
              </w:rPr>
              <w:t>GJ</w:t>
            </w:r>
          </w:p>
        </w:tc>
        <w:tc>
          <w:tcPr>
            <w:tcW w:w="1559" w:type="dxa"/>
          </w:tcPr>
          <w:p w:rsidR="00821B91" w:rsidRPr="004C5942" w:rsidRDefault="00821B91" w:rsidP="004C33FF">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C5942">
              <w:rPr>
                <w:rFonts w:ascii="Calibri" w:hAnsi="Calibri" w:cs="Calibri"/>
                <w:sz w:val="20"/>
                <w:szCs w:val="20"/>
              </w:rPr>
              <w:t>% per 1000km</w:t>
            </w:r>
          </w:p>
        </w:tc>
        <w:tc>
          <w:tcPr>
            <w:tcW w:w="1388" w:type="dxa"/>
          </w:tcPr>
          <w:p w:rsidR="00821B91" w:rsidRPr="004C5942" w:rsidRDefault="00821B91" w:rsidP="004C33FF">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C5942">
              <w:rPr>
                <w:rFonts w:ascii="Calibri" w:hAnsi="Calibri" w:cs="Calibri"/>
                <w:sz w:val="20"/>
                <w:szCs w:val="20"/>
              </w:rPr>
              <w:t>%</w:t>
            </w:r>
          </w:p>
        </w:tc>
      </w:tr>
      <w:tr w:rsidR="00821B91" w:rsidRPr="004C5942" w:rsidTr="004C3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21B91" w:rsidRPr="004C5942" w:rsidRDefault="00821B91" w:rsidP="004C33FF">
            <w:pPr>
              <w:rPr>
                <w:rFonts w:ascii="Calibri" w:hAnsi="Calibri" w:cs="Calibri"/>
              </w:rPr>
            </w:pPr>
            <w:r w:rsidRPr="004C5942">
              <w:rPr>
                <w:rFonts w:ascii="Calibri" w:hAnsi="Calibri" w:cs="Calibri"/>
              </w:rPr>
              <w:t>Natural gas (pipeline)</w:t>
            </w:r>
          </w:p>
        </w:tc>
        <w:tc>
          <w:tcPr>
            <w:tcW w:w="1984" w:type="dxa"/>
          </w:tcPr>
          <w:p w:rsidR="00821B91" w:rsidRPr="004C5942" w:rsidRDefault="00821B91" w:rsidP="004C33FF">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C5942">
              <w:rPr>
                <w:rFonts w:ascii="Calibri" w:hAnsi="Calibri" w:cs="Calibri"/>
              </w:rPr>
              <w:t>0.4</w:t>
            </w:r>
          </w:p>
        </w:tc>
        <w:tc>
          <w:tcPr>
            <w:tcW w:w="1276" w:type="dxa"/>
          </w:tcPr>
          <w:p w:rsidR="00821B91" w:rsidRPr="004C5942" w:rsidRDefault="00821B91" w:rsidP="004C33F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59" w:type="dxa"/>
          </w:tcPr>
          <w:p w:rsidR="00821B91" w:rsidRPr="004C5942" w:rsidRDefault="00821B91" w:rsidP="004C33FF">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C5942">
              <w:rPr>
                <w:rFonts w:ascii="Calibri" w:hAnsi="Calibri" w:cs="Calibri"/>
              </w:rPr>
              <w:t>2</w:t>
            </w:r>
          </w:p>
        </w:tc>
        <w:tc>
          <w:tcPr>
            <w:tcW w:w="1388" w:type="dxa"/>
          </w:tcPr>
          <w:p w:rsidR="00821B91" w:rsidRPr="004C5942" w:rsidRDefault="00821B91" w:rsidP="004C33F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21B91" w:rsidRPr="004C5942" w:rsidTr="004C33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21B91" w:rsidRPr="004C5942" w:rsidRDefault="00821B91" w:rsidP="004C33FF">
            <w:pPr>
              <w:rPr>
                <w:rFonts w:ascii="Calibri" w:hAnsi="Calibri" w:cs="Calibri"/>
              </w:rPr>
            </w:pPr>
            <w:r w:rsidRPr="004C5942">
              <w:rPr>
                <w:rFonts w:ascii="Calibri" w:hAnsi="Calibri" w:cs="Calibri"/>
              </w:rPr>
              <w:t>Natural gas (LNG)</w:t>
            </w:r>
          </w:p>
        </w:tc>
        <w:tc>
          <w:tcPr>
            <w:tcW w:w="1984" w:type="dxa"/>
          </w:tcPr>
          <w:p w:rsidR="00821B91" w:rsidRPr="004C5942" w:rsidRDefault="00821B91" w:rsidP="004C33FF">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4C5942">
              <w:rPr>
                <w:rFonts w:ascii="Calibri" w:hAnsi="Calibri" w:cs="Calibri"/>
              </w:rPr>
              <w:t>0.08</w:t>
            </w:r>
          </w:p>
        </w:tc>
        <w:tc>
          <w:tcPr>
            <w:tcW w:w="1276" w:type="dxa"/>
          </w:tcPr>
          <w:p w:rsidR="00821B91" w:rsidRPr="004C5942" w:rsidRDefault="00821B91" w:rsidP="004C33FF">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4C5942">
              <w:rPr>
                <w:rFonts w:ascii="Calibri" w:hAnsi="Calibri" w:cs="Calibri"/>
              </w:rPr>
              <w:t>1</w:t>
            </w:r>
          </w:p>
        </w:tc>
        <w:tc>
          <w:tcPr>
            <w:tcW w:w="1559" w:type="dxa"/>
          </w:tcPr>
          <w:p w:rsidR="00821B91" w:rsidRPr="004C5942" w:rsidRDefault="00821B91" w:rsidP="004C33FF">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4C5942">
              <w:rPr>
                <w:rFonts w:ascii="Calibri" w:hAnsi="Calibri" w:cs="Calibri"/>
              </w:rPr>
              <w:t>0.2</w:t>
            </w:r>
          </w:p>
        </w:tc>
        <w:tc>
          <w:tcPr>
            <w:tcW w:w="1388" w:type="dxa"/>
          </w:tcPr>
          <w:p w:rsidR="00821B91" w:rsidRPr="004C5942" w:rsidRDefault="00821B91" w:rsidP="004C33FF">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4C5942">
              <w:rPr>
                <w:rFonts w:ascii="Calibri" w:hAnsi="Calibri" w:cs="Calibri"/>
              </w:rPr>
              <w:t>12</w:t>
            </w:r>
          </w:p>
        </w:tc>
      </w:tr>
      <w:tr w:rsidR="00821B91" w:rsidRPr="004C5942" w:rsidTr="004C3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21B91" w:rsidRPr="004C5942" w:rsidRDefault="00821B91" w:rsidP="004C33FF">
            <w:pPr>
              <w:rPr>
                <w:rFonts w:ascii="Calibri" w:hAnsi="Calibri" w:cs="Calibri"/>
              </w:rPr>
            </w:pPr>
            <w:r w:rsidRPr="004C5942">
              <w:rPr>
                <w:rFonts w:ascii="Calibri" w:hAnsi="Calibri" w:cs="Calibri"/>
              </w:rPr>
              <w:t>Oil tanker</w:t>
            </w:r>
          </w:p>
        </w:tc>
        <w:tc>
          <w:tcPr>
            <w:tcW w:w="1984" w:type="dxa"/>
          </w:tcPr>
          <w:p w:rsidR="00821B91" w:rsidRPr="004C5942" w:rsidRDefault="00821B91" w:rsidP="004C33FF">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C5942">
              <w:rPr>
                <w:rFonts w:ascii="Calibri" w:hAnsi="Calibri" w:cs="Calibri"/>
              </w:rPr>
              <w:t>0.023</w:t>
            </w:r>
          </w:p>
        </w:tc>
        <w:tc>
          <w:tcPr>
            <w:tcW w:w="1276" w:type="dxa"/>
          </w:tcPr>
          <w:p w:rsidR="00821B91" w:rsidRPr="004C5942" w:rsidRDefault="00821B91" w:rsidP="004C33F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59" w:type="dxa"/>
          </w:tcPr>
          <w:p w:rsidR="00821B91" w:rsidRPr="004C5942" w:rsidRDefault="00821B91" w:rsidP="004C33F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388" w:type="dxa"/>
          </w:tcPr>
          <w:p w:rsidR="00821B91" w:rsidRPr="004C5942" w:rsidRDefault="00821B91" w:rsidP="004C33F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21B91" w:rsidRPr="004C5942" w:rsidTr="004C33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21B91" w:rsidRPr="004C5942" w:rsidRDefault="00821B91" w:rsidP="004C33FF">
            <w:pPr>
              <w:rPr>
                <w:rFonts w:ascii="Calibri" w:hAnsi="Calibri" w:cs="Calibri"/>
              </w:rPr>
            </w:pPr>
            <w:r w:rsidRPr="004C5942">
              <w:rPr>
                <w:rFonts w:ascii="Calibri" w:hAnsi="Calibri" w:cs="Calibri"/>
              </w:rPr>
              <w:t>Coal tanker</w:t>
            </w:r>
          </w:p>
        </w:tc>
        <w:tc>
          <w:tcPr>
            <w:tcW w:w="1984" w:type="dxa"/>
          </w:tcPr>
          <w:p w:rsidR="00821B91" w:rsidRPr="004C5942" w:rsidRDefault="00821B91" w:rsidP="004C33FF">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4C5942">
              <w:rPr>
                <w:rFonts w:ascii="Calibri" w:hAnsi="Calibri" w:cs="Calibri"/>
              </w:rPr>
              <w:t>0.014</w:t>
            </w:r>
          </w:p>
        </w:tc>
        <w:tc>
          <w:tcPr>
            <w:tcW w:w="1276" w:type="dxa"/>
          </w:tcPr>
          <w:p w:rsidR="00821B91" w:rsidRPr="004C5942" w:rsidRDefault="00821B91" w:rsidP="004C33FF">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4C5942">
              <w:rPr>
                <w:rFonts w:ascii="Calibri" w:hAnsi="Calibri" w:cs="Calibri"/>
              </w:rPr>
              <w:t>0.4</w:t>
            </w:r>
          </w:p>
        </w:tc>
        <w:tc>
          <w:tcPr>
            <w:tcW w:w="1559" w:type="dxa"/>
          </w:tcPr>
          <w:p w:rsidR="00821B91" w:rsidRPr="004C5942" w:rsidRDefault="00821B91" w:rsidP="004C33FF">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1388" w:type="dxa"/>
          </w:tcPr>
          <w:p w:rsidR="00821B91" w:rsidRPr="004C5942" w:rsidRDefault="00821B91" w:rsidP="004C33FF">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821B91" w:rsidRPr="00821B91" w:rsidRDefault="00821B91" w:rsidP="00821B91"/>
    <w:p w:rsidR="00591290" w:rsidRDefault="006D7B71" w:rsidP="00591290">
      <w:pPr>
        <w:pStyle w:val="Heading1"/>
        <w:ind w:left="284" w:hanging="284"/>
      </w:pPr>
      <w:r>
        <w:t xml:space="preserve"> </w:t>
      </w:r>
      <w:r w:rsidR="00591290">
        <w:t xml:space="preserve">Scenarios </w:t>
      </w:r>
    </w:p>
    <w:p w:rsidR="006D7B71" w:rsidRDefault="00591290" w:rsidP="006D7B71">
      <w:r>
        <w:t>The following Table S3 gives the overview of all scenarios that have been performed and used in this study.</w:t>
      </w:r>
    </w:p>
    <w:p w:rsidR="00336040" w:rsidRPr="00AD7F13" w:rsidRDefault="00336040" w:rsidP="00336040">
      <w:pPr>
        <w:rPr>
          <w:rFonts w:cstheme="minorHAnsi"/>
          <w:i/>
        </w:rPr>
      </w:pPr>
      <w:r w:rsidRPr="00AD7F13">
        <w:rPr>
          <w:rFonts w:cstheme="minorHAnsi"/>
          <w:i/>
        </w:rPr>
        <w:t xml:space="preserve">Table </w:t>
      </w:r>
      <w:r>
        <w:rPr>
          <w:rFonts w:cstheme="minorHAnsi"/>
          <w:i/>
        </w:rPr>
        <w:t>S3</w:t>
      </w:r>
      <w:r w:rsidRPr="00AD7F13">
        <w:rPr>
          <w:rFonts w:cstheme="minorHAnsi"/>
          <w:i/>
        </w:rPr>
        <w:t xml:space="preserve">: </w:t>
      </w:r>
      <w:r w:rsidR="00EC4211">
        <w:rPr>
          <w:rFonts w:cstheme="minorHAnsi"/>
          <w:i/>
        </w:rPr>
        <w:t>Overview of scenarios</w:t>
      </w:r>
      <w:r w:rsidRPr="00AD7F13">
        <w:rPr>
          <w:rFonts w:cstheme="minorHAnsi"/>
          <w:i/>
        </w:rPr>
        <w:t>.</w:t>
      </w:r>
    </w:p>
    <w:tbl>
      <w:tblPr>
        <w:tblStyle w:val="MediumShading1-Accent1"/>
        <w:tblW w:w="0" w:type="auto"/>
        <w:jc w:val="center"/>
        <w:tblInd w:w="-363" w:type="dxa"/>
        <w:tblLook w:val="04A0" w:firstRow="1" w:lastRow="0" w:firstColumn="1" w:lastColumn="0" w:noHBand="0" w:noVBand="1"/>
      </w:tblPr>
      <w:tblGrid>
        <w:gridCol w:w="1814"/>
        <w:gridCol w:w="1690"/>
        <w:gridCol w:w="1701"/>
        <w:gridCol w:w="2090"/>
      </w:tblGrid>
      <w:tr w:rsidR="00591290" w:rsidTr="005912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4" w:type="dxa"/>
          </w:tcPr>
          <w:p w:rsidR="00591290" w:rsidRPr="00AD7F13" w:rsidRDefault="00591290" w:rsidP="00A23064">
            <w:pPr>
              <w:rPr>
                <w:rFonts w:ascii="Arial" w:hAnsi="Arial" w:cs="Arial"/>
              </w:rPr>
            </w:pPr>
          </w:p>
        </w:tc>
        <w:tc>
          <w:tcPr>
            <w:tcW w:w="5481" w:type="dxa"/>
            <w:gridSpan w:val="3"/>
          </w:tcPr>
          <w:p w:rsidR="00591290" w:rsidRDefault="00591290" w:rsidP="00A23064">
            <w:pPr>
              <w:jc w:val="center"/>
              <w:cnfStyle w:val="100000000000" w:firstRow="1" w:lastRow="0" w:firstColumn="0" w:lastColumn="0" w:oddVBand="0" w:evenVBand="0" w:oddHBand="0" w:evenHBand="0" w:firstRowFirstColumn="0" w:firstRowLastColumn="0" w:lastRowFirstColumn="0" w:lastRowLastColumn="0"/>
            </w:pPr>
            <w:r>
              <w:rPr>
                <w:rFonts w:ascii="Arial" w:hAnsi="Arial" w:cs="Arial"/>
              </w:rPr>
              <w:t>Climate Change Stabilization</w:t>
            </w:r>
          </w:p>
        </w:tc>
      </w:tr>
      <w:tr w:rsidR="00591290" w:rsidTr="00591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4" w:type="dxa"/>
            <w:shd w:val="clear" w:color="auto" w:fill="4F81BD" w:themeFill="accent1"/>
          </w:tcPr>
          <w:p w:rsidR="00591290" w:rsidRPr="00AD7F13" w:rsidRDefault="00591290" w:rsidP="00A23064">
            <w:pPr>
              <w:rPr>
                <w:rFonts w:ascii="Arial" w:hAnsi="Arial" w:cs="Arial"/>
              </w:rPr>
            </w:pPr>
            <w:r>
              <w:rPr>
                <w:rFonts w:ascii="Arial" w:hAnsi="Arial" w:cs="Arial"/>
                <w:color w:val="FFFFFF" w:themeColor="background1"/>
              </w:rPr>
              <w:t>Baseline</w:t>
            </w:r>
            <w:r>
              <w:rPr>
                <w:rFonts w:ascii="Arial" w:hAnsi="Arial" w:cs="Arial"/>
                <w:color w:val="FFFFFF" w:themeColor="background1"/>
              </w:rPr>
              <w:br/>
              <w:t>assumption</w:t>
            </w:r>
          </w:p>
        </w:tc>
        <w:tc>
          <w:tcPr>
            <w:tcW w:w="1690" w:type="dxa"/>
            <w:shd w:val="clear" w:color="auto" w:fill="4F81BD" w:themeFill="accent1"/>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Pr>
                <w:rFonts w:ascii="Arial" w:hAnsi="Arial" w:cs="Arial"/>
                <w:color w:val="FFFFFF" w:themeColor="background1"/>
              </w:rPr>
              <w:t>No Policy</w:t>
            </w:r>
          </w:p>
        </w:tc>
        <w:tc>
          <w:tcPr>
            <w:tcW w:w="1701" w:type="dxa"/>
            <w:shd w:val="clear" w:color="auto" w:fill="4F81BD" w:themeFill="accent1"/>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Pr>
                <w:rFonts w:ascii="Arial" w:hAnsi="Arial" w:cs="Arial"/>
                <w:color w:val="FFFFFF" w:themeColor="background1"/>
              </w:rPr>
              <w:t>550 ppm-e</w:t>
            </w:r>
          </w:p>
        </w:tc>
        <w:tc>
          <w:tcPr>
            <w:tcW w:w="2090" w:type="dxa"/>
            <w:shd w:val="clear" w:color="auto" w:fill="4F81BD" w:themeFill="accent1"/>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Pr>
                <w:rFonts w:ascii="Arial" w:hAnsi="Arial" w:cs="Arial"/>
                <w:color w:val="FFFFFF" w:themeColor="background1"/>
              </w:rPr>
              <w:t>450 ppm-e</w:t>
            </w:r>
          </w:p>
        </w:tc>
      </w:tr>
      <w:tr w:rsidR="00591290" w:rsidTr="005912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4" w:type="dxa"/>
          </w:tcPr>
          <w:p w:rsidR="00591290" w:rsidRPr="00AD7F13" w:rsidRDefault="00591290" w:rsidP="00A23064">
            <w:pPr>
              <w:rPr>
                <w:rFonts w:cstheme="minorHAnsi"/>
              </w:rPr>
            </w:pPr>
            <w:r>
              <w:rPr>
                <w:rFonts w:cstheme="minorHAnsi"/>
              </w:rPr>
              <w:t>Default</w:t>
            </w:r>
          </w:p>
        </w:tc>
        <w:tc>
          <w:tcPr>
            <w:tcW w:w="1690"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X</w:t>
            </w:r>
          </w:p>
        </w:tc>
        <w:tc>
          <w:tcPr>
            <w:tcW w:w="1701"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X</w:t>
            </w:r>
          </w:p>
        </w:tc>
        <w:tc>
          <w:tcPr>
            <w:tcW w:w="2090"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X</w:t>
            </w:r>
          </w:p>
        </w:tc>
      </w:tr>
      <w:tr w:rsidR="00591290" w:rsidTr="00591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4" w:type="dxa"/>
          </w:tcPr>
          <w:p w:rsidR="00591290" w:rsidRPr="00AD7F13" w:rsidRDefault="00591290" w:rsidP="00A23064">
            <w:pPr>
              <w:rPr>
                <w:rFonts w:cstheme="minorHAnsi"/>
              </w:rPr>
            </w:pPr>
            <w:r>
              <w:rPr>
                <w:rFonts w:cstheme="minorHAnsi"/>
              </w:rPr>
              <w:t>Fast Growth</w:t>
            </w:r>
          </w:p>
        </w:tc>
        <w:tc>
          <w:tcPr>
            <w:tcW w:w="1690" w:type="dxa"/>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701" w:type="dxa"/>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2090" w:type="dxa"/>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r>
      <w:tr w:rsidR="00591290" w:rsidTr="005912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4" w:type="dxa"/>
          </w:tcPr>
          <w:p w:rsidR="00591290" w:rsidRPr="00AD7F13" w:rsidRDefault="00591290" w:rsidP="00591290">
            <w:pPr>
              <w:rPr>
                <w:rFonts w:cstheme="minorHAnsi"/>
              </w:rPr>
            </w:pPr>
            <w:r>
              <w:rPr>
                <w:rFonts w:cstheme="minorHAnsi"/>
              </w:rPr>
              <w:t>Slow Growth</w:t>
            </w:r>
          </w:p>
        </w:tc>
        <w:tc>
          <w:tcPr>
            <w:tcW w:w="1690"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X</w:t>
            </w:r>
          </w:p>
        </w:tc>
        <w:tc>
          <w:tcPr>
            <w:tcW w:w="1701"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X</w:t>
            </w:r>
          </w:p>
        </w:tc>
        <w:tc>
          <w:tcPr>
            <w:tcW w:w="2090"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X</w:t>
            </w:r>
          </w:p>
        </w:tc>
      </w:tr>
      <w:tr w:rsidR="00591290" w:rsidTr="00591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4" w:type="dxa"/>
          </w:tcPr>
          <w:p w:rsidR="00591290" w:rsidRPr="00AD7F13" w:rsidRDefault="00591290" w:rsidP="00591290">
            <w:pPr>
              <w:rPr>
                <w:rFonts w:cstheme="minorHAnsi"/>
              </w:rPr>
            </w:pPr>
            <w:r>
              <w:rPr>
                <w:rFonts w:cstheme="minorHAnsi"/>
              </w:rPr>
              <w:t>High Fossil</w:t>
            </w:r>
          </w:p>
        </w:tc>
        <w:tc>
          <w:tcPr>
            <w:tcW w:w="1690" w:type="dxa"/>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701" w:type="dxa"/>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2090" w:type="dxa"/>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r>
      <w:tr w:rsidR="00591290" w:rsidTr="005912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4" w:type="dxa"/>
          </w:tcPr>
          <w:p w:rsidR="00591290" w:rsidRPr="00AD7F13" w:rsidRDefault="00591290" w:rsidP="00A23064">
            <w:pPr>
              <w:rPr>
                <w:rFonts w:cstheme="minorHAnsi"/>
              </w:rPr>
            </w:pPr>
            <w:r>
              <w:rPr>
                <w:rFonts w:cstheme="minorHAnsi"/>
              </w:rPr>
              <w:t>Low Fossil</w:t>
            </w:r>
          </w:p>
        </w:tc>
        <w:tc>
          <w:tcPr>
            <w:tcW w:w="1690"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X</w:t>
            </w:r>
          </w:p>
        </w:tc>
        <w:tc>
          <w:tcPr>
            <w:tcW w:w="1701"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X</w:t>
            </w:r>
          </w:p>
        </w:tc>
        <w:tc>
          <w:tcPr>
            <w:tcW w:w="2090"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X</w:t>
            </w:r>
          </w:p>
        </w:tc>
      </w:tr>
      <w:tr w:rsidR="00591290" w:rsidTr="00591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4" w:type="dxa"/>
          </w:tcPr>
          <w:p w:rsidR="00591290" w:rsidRPr="00AD7F13" w:rsidRDefault="00591290" w:rsidP="00A23064">
            <w:pPr>
              <w:rPr>
                <w:rFonts w:cstheme="minorHAnsi"/>
              </w:rPr>
            </w:pPr>
            <w:r>
              <w:rPr>
                <w:rFonts w:cstheme="minorHAnsi"/>
              </w:rPr>
              <w:t>Low Oil</w:t>
            </w:r>
          </w:p>
        </w:tc>
        <w:tc>
          <w:tcPr>
            <w:tcW w:w="1690" w:type="dxa"/>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701" w:type="dxa"/>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090" w:type="dxa"/>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591290" w:rsidTr="005912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4" w:type="dxa"/>
          </w:tcPr>
          <w:p w:rsidR="00591290" w:rsidRPr="00AD7F13" w:rsidRDefault="00591290" w:rsidP="00A23064">
            <w:pPr>
              <w:rPr>
                <w:rFonts w:cstheme="minorHAnsi"/>
              </w:rPr>
            </w:pPr>
            <w:r>
              <w:rPr>
                <w:rFonts w:cstheme="minorHAnsi"/>
              </w:rPr>
              <w:t>High Coal</w:t>
            </w:r>
          </w:p>
        </w:tc>
        <w:tc>
          <w:tcPr>
            <w:tcW w:w="1690"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X</w:t>
            </w:r>
          </w:p>
        </w:tc>
        <w:tc>
          <w:tcPr>
            <w:tcW w:w="1701"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090"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591290" w:rsidTr="005912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4" w:type="dxa"/>
          </w:tcPr>
          <w:p w:rsidR="00591290" w:rsidRPr="00AD7F13" w:rsidRDefault="00591290" w:rsidP="00A23064">
            <w:pPr>
              <w:rPr>
                <w:rFonts w:cstheme="minorHAnsi"/>
              </w:rPr>
            </w:pPr>
            <w:r>
              <w:rPr>
                <w:rFonts w:cstheme="minorHAnsi"/>
              </w:rPr>
              <w:t>High Gas</w:t>
            </w:r>
          </w:p>
        </w:tc>
        <w:tc>
          <w:tcPr>
            <w:tcW w:w="1690" w:type="dxa"/>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701" w:type="dxa"/>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090" w:type="dxa"/>
          </w:tcPr>
          <w:p w:rsidR="00591290" w:rsidRPr="00AD7F13" w:rsidRDefault="00591290" w:rsidP="00A2306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591290" w:rsidTr="005912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4" w:type="dxa"/>
          </w:tcPr>
          <w:p w:rsidR="00591290" w:rsidRPr="00AD7F13" w:rsidRDefault="00591290" w:rsidP="00A23064">
            <w:pPr>
              <w:rPr>
                <w:rFonts w:cstheme="minorHAnsi"/>
              </w:rPr>
            </w:pPr>
            <w:r>
              <w:rPr>
                <w:rFonts w:cstheme="minorHAnsi"/>
              </w:rPr>
              <w:t>Mod. Policy</w:t>
            </w:r>
          </w:p>
        </w:tc>
        <w:tc>
          <w:tcPr>
            <w:tcW w:w="1690"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X</w:t>
            </w:r>
          </w:p>
        </w:tc>
        <w:tc>
          <w:tcPr>
            <w:tcW w:w="1701"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2090" w:type="dxa"/>
          </w:tcPr>
          <w:p w:rsidR="00591290" w:rsidRPr="00AD7F13" w:rsidRDefault="00591290" w:rsidP="00A23064">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bl>
    <w:p w:rsidR="00591290" w:rsidRDefault="00591290" w:rsidP="006D7B71"/>
    <w:p w:rsidR="00591290" w:rsidRPr="00A34AB6" w:rsidRDefault="00591290" w:rsidP="006D7B71"/>
    <w:p w:rsidR="00821B91" w:rsidRDefault="00821B91">
      <w:pPr>
        <w:rPr>
          <w:rFonts w:asciiTheme="majorHAnsi" w:eastAsiaTheme="majorEastAsia" w:hAnsiTheme="majorHAnsi" w:cstheme="majorBidi"/>
          <w:b/>
          <w:bCs/>
          <w:color w:val="365F91" w:themeColor="accent1" w:themeShade="BF"/>
          <w:sz w:val="28"/>
          <w:szCs w:val="28"/>
        </w:rPr>
      </w:pPr>
      <w:r>
        <w:br w:type="page"/>
      </w:r>
    </w:p>
    <w:p w:rsidR="006E56A1" w:rsidRDefault="0004670E" w:rsidP="00C46C49">
      <w:pPr>
        <w:pStyle w:val="Heading1"/>
        <w:ind w:left="284" w:hanging="284"/>
      </w:pPr>
      <w:r>
        <w:lastRenderedPageBreak/>
        <w:t>Variation of baseline a</w:t>
      </w:r>
      <w:r w:rsidR="006E56A1">
        <w:t xml:space="preserve">ssumptions </w:t>
      </w:r>
    </w:p>
    <w:p w:rsidR="00975E25" w:rsidRPr="00975E25" w:rsidRDefault="0004670E" w:rsidP="00975E25">
      <w:r>
        <w:t>T</w:t>
      </w:r>
      <w:r w:rsidR="00975E25">
        <w:t xml:space="preserve">his Section </w:t>
      </w:r>
      <w:r>
        <w:t>provides further details on</w:t>
      </w:r>
      <w:r w:rsidR="00975E25">
        <w:t xml:space="preserve"> the </w:t>
      </w:r>
      <w:r>
        <w:t xml:space="preserve">variation of baseline </w:t>
      </w:r>
      <w:r w:rsidR="00975E25">
        <w:t xml:space="preserve">assumptions and the scenario design of the study. </w:t>
      </w:r>
    </w:p>
    <w:p w:rsidR="006E56A1" w:rsidRDefault="006E56A1" w:rsidP="006E56A1">
      <w:pPr>
        <w:pStyle w:val="Heading2"/>
      </w:pPr>
      <w:r>
        <w:t>Fossil fuel supply curves</w:t>
      </w:r>
    </w:p>
    <w:p w:rsidR="001B02D4" w:rsidRDefault="00B0798D" w:rsidP="001B02D4">
      <w:r>
        <w:t xml:space="preserve"> Figure S1 shows the </w:t>
      </w:r>
      <w:r w:rsidR="00D80C02">
        <w:t xml:space="preserve">long-term </w:t>
      </w:r>
      <w:r w:rsidR="00BA78D6">
        <w:t xml:space="preserve">fossil fuel </w:t>
      </w:r>
      <w:r w:rsidR="00D80C02">
        <w:t xml:space="preserve">supply </w:t>
      </w:r>
      <w:r w:rsidR="00BA78D6">
        <w:t xml:space="preserve">cost </w:t>
      </w:r>
      <w:r w:rsidR="00D80C02">
        <w:t>functions</w:t>
      </w:r>
      <w:r w:rsidR="00BA78D6">
        <w:t xml:space="preserve"> that are assumed in the study</w:t>
      </w:r>
      <w:r w:rsidR="00D80C02">
        <w:t xml:space="preserve">. The crosses in the graphs mark the different </w:t>
      </w:r>
      <w:r w:rsidR="00BA78D6">
        <w:t xml:space="preserve">fuel </w:t>
      </w:r>
      <w:r w:rsidR="00D80C02">
        <w:t>grades. If there were no dynami</w:t>
      </w:r>
      <w:r w:rsidR="002F084F">
        <w:t>c constraints on extraction from different grades</w:t>
      </w:r>
      <w:r w:rsidR="00BA78D6">
        <w:t>,</w:t>
      </w:r>
      <w:r w:rsidR="002F084F">
        <w:t xml:space="preserve"> the low cost strategy would be to extract from each grade until it is fully exhausted. Since the ReMIND model considers dynamic constraints</w:t>
      </w:r>
      <w:r w:rsidR="00BA78D6">
        <w:t>,</w:t>
      </w:r>
      <w:r w:rsidR="002F084F">
        <w:t xml:space="preserve"> several grades </w:t>
      </w:r>
      <w:r w:rsidR="00BA78D6">
        <w:t>will be exploited at the same point in time</w:t>
      </w:r>
      <w:r w:rsidR="002F084F">
        <w:t xml:space="preserve">. The methodology </w:t>
      </w:r>
      <w:r w:rsidR="00BA78D6">
        <w:t xml:space="preserve">to derive the fossil fuel supply curves, </w:t>
      </w:r>
      <w:r w:rsidR="002F084F">
        <w:t xml:space="preserve">and the </w:t>
      </w:r>
      <w:r w:rsidR="00BA78D6">
        <w:t xml:space="preserve">underlying </w:t>
      </w:r>
      <w:r w:rsidR="002F084F">
        <w:t>quantitative assumptions</w:t>
      </w:r>
      <w:r w:rsidR="00BA78D6">
        <w:t xml:space="preserve">, </w:t>
      </w:r>
      <w:r w:rsidR="002F084F">
        <w:t xml:space="preserve">are </w:t>
      </w:r>
      <w:r w:rsidR="00BA78D6">
        <w:t>described</w:t>
      </w:r>
      <w:r w:rsidR="002F084F">
        <w:t xml:space="preserve"> in the </w:t>
      </w:r>
      <w:r w:rsidR="0004670E">
        <w:t>S</w:t>
      </w:r>
      <w:r w:rsidR="00BA78D6">
        <w:t xml:space="preserve">upplementary Online Material </w:t>
      </w:r>
      <w:r w:rsidR="002F084F">
        <w:t>to the Synthesis paper of th</w:t>
      </w:r>
      <w:r w:rsidR="00C75BD1">
        <w:t xml:space="preserve">e </w:t>
      </w:r>
      <w:proofErr w:type="spellStart"/>
      <w:r w:rsidR="00C75BD1">
        <w:t>RoSE</w:t>
      </w:r>
      <w:proofErr w:type="spellEnd"/>
      <w:r w:rsidR="00C75BD1">
        <w:t xml:space="preserve"> study</w:t>
      </w:r>
      <w:r w:rsidR="002F084F">
        <w:t xml:space="preserve"> (Kriegler et al.). </w:t>
      </w:r>
    </w:p>
    <w:p w:rsidR="008E2EB3" w:rsidRDefault="008E2EB3" w:rsidP="001B02D4">
      <w:r>
        <w:rPr>
          <w:noProof/>
        </w:rPr>
        <w:drawing>
          <wp:inline distT="0" distB="0" distL="0" distR="0">
            <wp:extent cx="1911600" cy="1432800"/>
            <wp:effectExtent l="0" t="0" r="0" b="0"/>
            <wp:docPr id="16" name="Picture 16" descr="D:\texte\1107_fossils\data1208\figs\linGrades_glob_oil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exte\1107_fossils\data1208\figs\linGrades_glob_oil_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r w:rsidRPr="008E2EB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extent cx="1911600" cy="1432800"/>
            <wp:effectExtent l="0" t="0" r="0" b="0"/>
            <wp:docPr id="17" name="Picture 17" descr="D:\texte\1107_fossils\data1208\figs\linGrades_glob_ga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texte\1107_fossils\data1208\figs\linGrades_glob_gas_n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r w:rsidRPr="008E2EB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911600" cy="1432800"/>
            <wp:effectExtent l="0" t="0" r="0" b="0"/>
            <wp:docPr id="18" name="Picture 18" descr="D:\texte\1107_fossils\data1208\figs\linGrades_glob_coal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texte\1107_fossils\data1208\figs\linGrades_glob_coal_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p>
    <w:p w:rsidR="00312C16" w:rsidRDefault="00B0798D" w:rsidP="001B02D4">
      <w:pPr>
        <w:rPr>
          <w:rStyle w:val="Strong"/>
        </w:rPr>
      </w:pPr>
      <w:r>
        <w:rPr>
          <w:rStyle w:val="Strong"/>
        </w:rPr>
        <w:t>Figure S</w:t>
      </w:r>
      <w:r w:rsidR="00F67A3F" w:rsidRPr="009505FB">
        <w:rPr>
          <w:rStyle w:val="Strong"/>
        </w:rPr>
        <w:t>1</w:t>
      </w:r>
      <w:r w:rsidR="008E2EB3" w:rsidRPr="009505FB">
        <w:rPr>
          <w:rStyle w:val="Strong"/>
        </w:rPr>
        <w:t>: Assumptions</w:t>
      </w:r>
      <w:r w:rsidR="008E2EB3">
        <w:rPr>
          <w:rStyle w:val="Strong"/>
        </w:rPr>
        <w:t xml:space="preserve"> for long-term fossil fuel supply curves. </w:t>
      </w:r>
      <w:r w:rsidR="00D80C02">
        <w:rPr>
          <w:rStyle w:val="Strong"/>
        </w:rPr>
        <w:t xml:space="preserve">The crosses mark the borders of different grades modeled. </w:t>
      </w:r>
      <w:r w:rsidR="008E2EB3">
        <w:rPr>
          <w:rStyle w:val="Strong"/>
        </w:rPr>
        <w:t xml:space="preserve">From left to right the figures show crude oil, natural gas, and coal. In each graph the assumptions for low, medium and high </w:t>
      </w:r>
      <w:r w:rsidR="0004670E">
        <w:rPr>
          <w:rStyle w:val="Strong"/>
        </w:rPr>
        <w:t xml:space="preserve">fossil fuel availability </w:t>
      </w:r>
      <w:r w:rsidR="008E2EB3">
        <w:rPr>
          <w:rStyle w:val="Strong"/>
        </w:rPr>
        <w:t xml:space="preserve">are shown. The </w:t>
      </w:r>
      <w:r w:rsidR="0004670E">
        <w:rPr>
          <w:rStyle w:val="Strong"/>
        </w:rPr>
        <w:t>default</w:t>
      </w:r>
      <w:r w:rsidR="008E2EB3">
        <w:rPr>
          <w:rStyle w:val="Strong"/>
        </w:rPr>
        <w:t xml:space="preserve"> case is based on the medium cases for each of the three fossil fu</w:t>
      </w:r>
      <w:r w:rsidR="00F67A3F">
        <w:rPr>
          <w:rStyle w:val="Strong"/>
        </w:rPr>
        <w:t>els. Note the different scaling</w:t>
      </w:r>
      <w:r w:rsidR="008E2EB3">
        <w:rPr>
          <w:rStyle w:val="Strong"/>
        </w:rPr>
        <w:t>.</w:t>
      </w:r>
      <w:r w:rsidR="00C9464A">
        <w:rPr>
          <w:rStyle w:val="Strong"/>
        </w:rPr>
        <w:t xml:space="preserve"> The figures </w:t>
      </w:r>
      <w:r w:rsidR="004A479C">
        <w:rPr>
          <w:rStyle w:val="Strong"/>
        </w:rPr>
        <w:t>report</w:t>
      </w:r>
      <w:r w:rsidR="00C9464A">
        <w:rPr>
          <w:rStyle w:val="Strong"/>
        </w:rPr>
        <w:t xml:space="preserve"> the relevant range covered by the scenarios</w:t>
      </w:r>
      <w:r w:rsidR="00D80C02">
        <w:rPr>
          <w:rStyle w:val="Strong"/>
        </w:rPr>
        <w:t xml:space="preserve"> until 21</w:t>
      </w:r>
      <w:r w:rsidR="0004670E">
        <w:rPr>
          <w:rStyle w:val="Strong"/>
        </w:rPr>
        <w:t>0</w:t>
      </w:r>
      <w:r w:rsidR="00D80C02">
        <w:rPr>
          <w:rStyle w:val="Strong"/>
        </w:rPr>
        <w:t>0</w:t>
      </w:r>
      <w:r w:rsidR="00C9464A">
        <w:rPr>
          <w:rStyle w:val="Strong"/>
        </w:rPr>
        <w:t>, but the assumptions extend beyond.</w:t>
      </w:r>
    </w:p>
    <w:p w:rsidR="008E2EB3" w:rsidRPr="00312C16" w:rsidRDefault="008E2EB3" w:rsidP="00312C16">
      <w:pPr>
        <w:jc w:val="right"/>
      </w:pPr>
    </w:p>
    <w:p w:rsidR="00975E25" w:rsidRDefault="00BA78D6">
      <w:pPr>
        <w:rPr>
          <w:rFonts w:asciiTheme="majorHAnsi" w:eastAsiaTheme="majorEastAsia" w:hAnsiTheme="majorHAnsi" w:cstheme="majorBidi"/>
          <w:b/>
          <w:bCs/>
          <w:color w:val="4F81BD" w:themeColor="accent1"/>
          <w:sz w:val="26"/>
          <w:szCs w:val="26"/>
        </w:rPr>
      </w:pPr>
      <w:r>
        <w:rPr>
          <w:rStyle w:val="Strong"/>
          <w:b w:val="0"/>
        </w:rPr>
        <w:t>N</w:t>
      </w:r>
      <w:r w:rsidR="00975E25" w:rsidRPr="00975E25">
        <w:rPr>
          <w:rStyle w:val="Strong"/>
          <w:b w:val="0"/>
        </w:rPr>
        <w:t xml:space="preserve">ote that </w:t>
      </w:r>
      <w:r>
        <w:rPr>
          <w:rStyle w:val="Strong"/>
          <w:b w:val="0"/>
        </w:rPr>
        <w:t xml:space="preserve">extraction cost differences between low, medium, and high availability </w:t>
      </w:r>
      <w:r w:rsidR="00975E25" w:rsidRPr="00975E25">
        <w:rPr>
          <w:rStyle w:val="Strong"/>
          <w:b w:val="0"/>
        </w:rPr>
        <w:t xml:space="preserve">vary between the different fossil fuels. For instance, the extraction costs for gas are the same for the first two grades. Only </w:t>
      </w:r>
      <w:r w:rsidR="0052701E">
        <w:rPr>
          <w:rStyle w:val="Strong"/>
          <w:b w:val="0"/>
        </w:rPr>
        <w:t>at higher cumulative extractions do</w:t>
      </w:r>
      <w:r w:rsidR="0052701E" w:rsidRPr="00975E25">
        <w:rPr>
          <w:rStyle w:val="Strong"/>
          <w:b w:val="0"/>
        </w:rPr>
        <w:t xml:space="preserve"> </w:t>
      </w:r>
      <w:r w:rsidR="00975E25" w:rsidRPr="00975E25">
        <w:rPr>
          <w:rStyle w:val="Strong"/>
          <w:b w:val="0"/>
        </w:rPr>
        <w:t xml:space="preserve">the low, medium and high cases differ. </w:t>
      </w:r>
      <w:r w:rsidR="0052701E">
        <w:rPr>
          <w:rStyle w:val="Strong"/>
          <w:b w:val="0"/>
        </w:rPr>
        <w:t>F</w:t>
      </w:r>
      <w:r w:rsidR="00975E25" w:rsidRPr="00975E25">
        <w:rPr>
          <w:rStyle w:val="Strong"/>
          <w:b w:val="0"/>
        </w:rPr>
        <w:t>or oil and coal</w:t>
      </w:r>
      <w:r w:rsidR="00FF7348">
        <w:rPr>
          <w:rStyle w:val="Strong"/>
          <w:b w:val="0"/>
        </w:rPr>
        <w:t>, the extraction costs follow different paths</w:t>
      </w:r>
      <w:r w:rsidR="00975E25" w:rsidRPr="00975E25">
        <w:rPr>
          <w:rStyle w:val="Strong"/>
          <w:b w:val="0"/>
        </w:rPr>
        <w:t>. However, due to the inter-temporal structure of the ReMIND model and perfect foresight</w:t>
      </w:r>
      <w:r>
        <w:rPr>
          <w:rStyle w:val="Strong"/>
          <w:b w:val="0"/>
        </w:rPr>
        <w:t>,</w:t>
      </w:r>
      <w:r w:rsidR="00975E25" w:rsidRPr="00975E25">
        <w:rPr>
          <w:rStyle w:val="Strong"/>
          <w:b w:val="0"/>
        </w:rPr>
        <w:t xml:space="preserve"> the extraction paths are sensitive to the higher gas extraction costs </w:t>
      </w:r>
      <w:r w:rsidR="00FF7348">
        <w:rPr>
          <w:rStyle w:val="Strong"/>
          <w:b w:val="0"/>
        </w:rPr>
        <w:t>even</w:t>
      </w:r>
      <w:r w:rsidR="00FF7348" w:rsidRPr="00975E25">
        <w:rPr>
          <w:rStyle w:val="Strong"/>
          <w:b w:val="0"/>
        </w:rPr>
        <w:t xml:space="preserve"> </w:t>
      </w:r>
      <w:r w:rsidR="00975E25" w:rsidRPr="00975E25">
        <w:rPr>
          <w:rStyle w:val="Strong"/>
          <w:b w:val="0"/>
        </w:rPr>
        <w:t>in the near term</w:t>
      </w:r>
      <w:r w:rsidR="00641AD4">
        <w:rPr>
          <w:rStyle w:val="Strong"/>
          <w:b w:val="0"/>
        </w:rPr>
        <w:t xml:space="preserve"> to the extent that is economically reasonable</w:t>
      </w:r>
      <w:r w:rsidR="00F006CF">
        <w:rPr>
          <w:rStyle w:val="Strong"/>
          <w:b w:val="0"/>
        </w:rPr>
        <w:t xml:space="preserve"> to conserve gas in the near term</w:t>
      </w:r>
      <w:r w:rsidR="00975E25" w:rsidRPr="00975E25">
        <w:rPr>
          <w:rStyle w:val="Strong"/>
          <w:b w:val="0"/>
        </w:rPr>
        <w:t>.</w:t>
      </w:r>
    </w:p>
    <w:p w:rsidR="006E56A1" w:rsidRDefault="006E56A1" w:rsidP="006E56A1">
      <w:pPr>
        <w:pStyle w:val="Heading2"/>
      </w:pPr>
      <w:r>
        <w:t>Economic growth assumptions</w:t>
      </w:r>
    </w:p>
    <w:p w:rsidR="00C75BD1" w:rsidRDefault="007A7379" w:rsidP="00C75BD1">
      <w:r>
        <w:t xml:space="preserve">The </w:t>
      </w:r>
      <w:r w:rsidR="00F67657">
        <w:t xml:space="preserve">demand for energy and </w:t>
      </w:r>
      <w:r>
        <w:t>consequently</w:t>
      </w:r>
      <w:r w:rsidR="00F67657">
        <w:t xml:space="preserve"> fossil </w:t>
      </w:r>
      <w:r>
        <w:t>fuels</w:t>
      </w:r>
      <w:r w:rsidR="00C75BD1">
        <w:t xml:space="preserve"> will depend, among other things, on</w:t>
      </w:r>
      <w:r>
        <w:t xml:space="preserve"> future economic growth</w:t>
      </w:r>
      <w:r w:rsidR="00B0798D">
        <w:t>. Figure S</w:t>
      </w:r>
      <w:r w:rsidR="00F67657">
        <w:t xml:space="preserve">2 shows </w:t>
      </w:r>
      <w:r w:rsidR="00916B84">
        <w:t>economic output</w:t>
      </w:r>
      <w:r w:rsidR="00F67657">
        <w:t xml:space="preserve"> </w:t>
      </w:r>
      <w:r w:rsidR="00916B84">
        <w:t xml:space="preserve">across world regions </w:t>
      </w:r>
      <w:r w:rsidR="00F67657">
        <w:t xml:space="preserve">for the three cases </w:t>
      </w:r>
      <w:r w:rsidR="00916B84">
        <w:t xml:space="preserve">of </w:t>
      </w:r>
      <w:r w:rsidR="00F67657">
        <w:t xml:space="preserve">slow, medium and fast growth </w:t>
      </w:r>
      <w:r w:rsidR="00C75BD1">
        <w:t>considered in this study</w:t>
      </w:r>
      <w:r w:rsidR="00F67657">
        <w:t xml:space="preserve">. </w:t>
      </w:r>
      <w:r w:rsidR="00FD3AE2" w:rsidRPr="00FD3AE2">
        <w:t xml:space="preserve">The </w:t>
      </w:r>
      <w:r w:rsidR="00C75BD1">
        <w:t xml:space="preserve">derivation of the scenarios and the underlying assumptions are described in the Supplementary Online Material to the Synthesis paper of the ROSE study (Kriegler et al.). </w:t>
      </w:r>
    </w:p>
    <w:p w:rsidR="00FD3AE2" w:rsidRPr="00216843" w:rsidRDefault="00FD3AE2" w:rsidP="00830BB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rPr>
        <w:lastRenderedPageBreak/>
        <w:drawing>
          <wp:inline distT="0" distB="0" distL="0" distR="0">
            <wp:extent cx="2937600" cy="2203200"/>
            <wp:effectExtent l="0" t="0" r="0" b="6985"/>
            <wp:docPr id="13" name="Picture 13" descr="D:\texte\1107_fossils\data1208\figs\SIgdp_regs_REMIND_ROF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exte\1107_fossils\data1208\figs\SIgdp_regs_REMIND_ROFE1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7600" cy="2203200"/>
                    </a:xfrm>
                    <a:prstGeom prst="rect">
                      <a:avLst/>
                    </a:prstGeom>
                    <a:noFill/>
                    <a:ln>
                      <a:noFill/>
                    </a:ln>
                  </pic:spPr>
                </pic:pic>
              </a:graphicData>
            </a:graphic>
          </wp:inline>
        </w:drawing>
      </w:r>
      <w:r w:rsidRPr="00FD3AE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extent cx="2937600" cy="2203200"/>
            <wp:effectExtent l="0" t="0" r="0" b="6985"/>
            <wp:docPr id="14" name="Picture 14" descr="D:\texte\1107_fossils\data1208\figs\SIgdp_regs_REMIND_ROF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exte\1107_fossils\data1208\figs\SIgdp_regs_REMIND_ROFE1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7600" cy="2203200"/>
                    </a:xfrm>
                    <a:prstGeom prst="rect">
                      <a:avLst/>
                    </a:prstGeom>
                    <a:noFill/>
                    <a:ln>
                      <a:noFill/>
                    </a:ln>
                  </pic:spPr>
                </pic:pic>
              </a:graphicData>
            </a:graphic>
          </wp:inline>
        </w:drawing>
      </w:r>
      <w:r w:rsidRPr="00FD3AE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2937600" cy="2203200"/>
            <wp:effectExtent l="0" t="0" r="0" b="6985"/>
            <wp:docPr id="15" name="Picture 15" descr="D:\texte\1107_fossils\data1208\figs\SIgdp_regs_REMIND_ROF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exte\1107_fossils\data1208\figs\SIgdp_regs_REMIND_ROFE1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7600" cy="2203200"/>
                    </a:xfrm>
                    <a:prstGeom prst="rect">
                      <a:avLst/>
                    </a:prstGeom>
                    <a:noFill/>
                    <a:ln>
                      <a:noFill/>
                    </a:ln>
                  </pic:spPr>
                </pic:pic>
              </a:graphicData>
            </a:graphic>
          </wp:inline>
        </w:drawing>
      </w:r>
      <w:r w:rsidR="00216843">
        <w:rPr>
          <w:noProof/>
        </w:rPr>
        <w:drawing>
          <wp:inline distT="0" distB="0" distL="0" distR="0" wp14:anchorId="79139684" wp14:editId="7F8235AB">
            <wp:extent cx="2937600" cy="2203200"/>
            <wp:effectExtent l="0" t="0" r="0" b="6985"/>
            <wp:docPr id="5" name="Picture 5" descr="D:\texte\1107_fossils\data1208\figs\REMIND_GDP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1107_fossils\data1208\figs\REMIND_GDP_Worl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7600" cy="2203200"/>
                    </a:xfrm>
                    <a:prstGeom prst="rect">
                      <a:avLst/>
                    </a:prstGeom>
                    <a:noFill/>
                    <a:ln>
                      <a:noFill/>
                    </a:ln>
                  </pic:spPr>
                </pic:pic>
              </a:graphicData>
            </a:graphic>
          </wp:inline>
        </w:drawing>
      </w:r>
    </w:p>
    <w:p w:rsidR="00FD3AE2" w:rsidRDefault="008E2EB3" w:rsidP="00FD3AE2">
      <w:pPr>
        <w:rPr>
          <w:rStyle w:val="Strong"/>
        </w:rPr>
      </w:pPr>
      <w:r w:rsidRPr="009505FB">
        <w:rPr>
          <w:rStyle w:val="Strong"/>
        </w:rPr>
        <w:t>Figure S2</w:t>
      </w:r>
      <w:r w:rsidR="00FD3AE2" w:rsidRPr="009505FB">
        <w:rPr>
          <w:rStyle w:val="Strong"/>
        </w:rPr>
        <w:t>:</w:t>
      </w:r>
      <w:r w:rsidR="00D107AD">
        <w:rPr>
          <w:rStyle w:val="Strong"/>
        </w:rPr>
        <w:t xml:space="preserve"> GDP scenarios with regional differentiation for slow</w:t>
      </w:r>
      <w:r w:rsidR="00216843">
        <w:rPr>
          <w:rStyle w:val="Strong"/>
        </w:rPr>
        <w:t xml:space="preserve"> (top left)</w:t>
      </w:r>
      <w:r w:rsidR="00D107AD">
        <w:rPr>
          <w:rStyle w:val="Strong"/>
        </w:rPr>
        <w:t xml:space="preserve">, medium </w:t>
      </w:r>
      <w:r w:rsidR="00216843">
        <w:rPr>
          <w:rStyle w:val="Strong"/>
        </w:rPr>
        <w:t xml:space="preserve">(top right) </w:t>
      </w:r>
      <w:r w:rsidR="00D107AD">
        <w:rPr>
          <w:rStyle w:val="Strong"/>
        </w:rPr>
        <w:t>and fast</w:t>
      </w:r>
      <w:r w:rsidR="00216843">
        <w:rPr>
          <w:rStyle w:val="Strong"/>
        </w:rPr>
        <w:t xml:space="preserve"> (bottom left)</w:t>
      </w:r>
      <w:r w:rsidR="00D107AD">
        <w:rPr>
          <w:rStyle w:val="Strong"/>
        </w:rPr>
        <w:t xml:space="preserve"> growth</w:t>
      </w:r>
      <w:r w:rsidR="00216843">
        <w:rPr>
          <w:rStyle w:val="Strong"/>
        </w:rPr>
        <w:t xml:space="preserve"> and comparison of global total (bottom right)</w:t>
      </w:r>
      <w:r w:rsidR="00D107AD">
        <w:rPr>
          <w:rStyle w:val="Strong"/>
        </w:rPr>
        <w:t>. The reference scenario is based on the medium growth assumptions</w:t>
      </w:r>
      <w:r w:rsidR="00FD3AE2" w:rsidRPr="006E56A1">
        <w:rPr>
          <w:rStyle w:val="Strong"/>
        </w:rPr>
        <w:t>.</w:t>
      </w:r>
    </w:p>
    <w:p w:rsidR="009505FB" w:rsidRDefault="00975E25">
      <w:pPr>
        <w:rPr>
          <w:rFonts w:asciiTheme="majorHAnsi" w:eastAsiaTheme="majorEastAsia" w:hAnsiTheme="majorHAnsi" w:cstheme="majorBidi"/>
          <w:b/>
          <w:bCs/>
          <w:color w:val="365F91" w:themeColor="accent1" w:themeShade="BF"/>
          <w:sz w:val="28"/>
          <w:szCs w:val="28"/>
        </w:rPr>
      </w:pPr>
      <w:r w:rsidRPr="00975E25">
        <w:rPr>
          <w:rStyle w:val="Strong"/>
          <w:b w:val="0"/>
        </w:rPr>
        <w:t>It</w:t>
      </w:r>
      <w:r w:rsidR="00242A1B">
        <w:rPr>
          <w:rStyle w:val="Strong"/>
          <w:b w:val="0"/>
        </w:rPr>
        <w:t xml:space="preserve"> is</w:t>
      </w:r>
      <w:r w:rsidRPr="00975E25">
        <w:rPr>
          <w:rStyle w:val="Strong"/>
          <w:b w:val="0"/>
        </w:rPr>
        <w:t xml:space="preserve"> worth mention</w:t>
      </w:r>
      <w:r w:rsidR="00C75BD1">
        <w:rPr>
          <w:rStyle w:val="Strong"/>
          <w:b w:val="0"/>
        </w:rPr>
        <w:t>ing</w:t>
      </w:r>
      <w:r w:rsidRPr="00975E25">
        <w:rPr>
          <w:rStyle w:val="Strong"/>
          <w:b w:val="0"/>
        </w:rPr>
        <w:t xml:space="preserve"> that global GDP in the three scenarios </w:t>
      </w:r>
      <w:r w:rsidR="00F006CF">
        <w:rPr>
          <w:rStyle w:val="Strong"/>
          <w:b w:val="0"/>
        </w:rPr>
        <w:t>only</w:t>
      </w:r>
      <w:r w:rsidR="00242A1B">
        <w:rPr>
          <w:rStyle w:val="Strong"/>
          <w:b w:val="0"/>
        </w:rPr>
        <w:t xml:space="preserve"> differ</w:t>
      </w:r>
      <w:r w:rsidR="007A2838">
        <w:rPr>
          <w:rStyle w:val="Strong"/>
          <w:b w:val="0"/>
        </w:rPr>
        <w:t xml:space="preserve"> significantly</w:t>
      </w:r>
      <w:r w:rsidR="00242A1B">
        <w:rPr>
          <w:rStyle w:val="Strong"/>
          <w:b w:val="0"/>
        </w:rPr>
        <w:t xml:space="preserve"> after 2030</w:t>
      </w:r>
      <w:r w:rsidR="007A2838">
        <w:rPr>
          <w:rStyle w:val="Strong"/>
          <w:b w:val="0"/>
        </w:rPr>
        <w:t xml:space="preserve"> and continue diverging i</w:t>
      </w:r>
      <w:r w:rsidRPr="00975E25">
        <w:rPr>
          <w:rStyle w:val="Strong"/>
          <w:b w:val="0"/>
        </w:rPr>
        <w:t>n the longer term</w:t>
      </w:r>
      <w:r w:rsidR="007A2838">
        <w:rPr>
          <w:rStyle w:val="Strong"/>
          <w:b w:val="0"/>
        </w:rPr>
        <w:t>.</w:t>
      </w:r>
      <w:r w:rsidR="009505FB">
        <w:br w:type="page"/>
      </w:r>
    </w:p>
    <w:p w:rsidR="000919F2" w:rsidRDefault="000919F2" w:rsidP="00C46C49">
      <w:pPr>
        <w:pStyle w:val="Heading1"/>
        <w:ind w:left="284" w:hanging="284"/>
      </w:pPr>
      <w:r w:rsidRPr="000919F2">
        <w:lastRenderedPageBreak/>
        <w:t>Results</w:t>
      </w:r>
    </w:p>
    <w:p w:rsidR="00565685" w:rsidRPr="00565685" w:rsidRDefault="00565685" w:rsidP="00565685">
      <w:r>
        <w:t xml:space="preserve">In this section various arguments of the main text are supported by detailed analysis of the scenarios. </w:t>
      </w:r>
    </w:p>
    <w:p w:rsidR="000919F2" w:rsidRDefault="000919F2" w:rsidP="000919F2">
      <w:pPr>
        <w:pStyle w:val="Heading2"/>
      </w:pPr>
      <w:r>
        <w:t xml:space="preserve">The </w:t>
      </w:r>
      <w:r w:rsidR="00E46009">
        <w:t xml:space="preserve">Default </w:t>
      </w:r>
      <w:r>
        <w:t>Baseline</w:t>
      </w:r>
    </w:p>
    <w:p w:rsidR="000919F2" w:rsidRDefault="000919F2" w:rsidP="009769FC">
      <w:pPr>
        <w:pStyle w:val="Heading3"/>
      </w:pPr>
      <w:r>
        <w:t>General Baseline Characteristics</w:t>
      </w:r>
    </w:p>
    <w:p w:rsidR="00C35652" w:rsidRPr="00C35652" w:rsidRDefault="00C35652" w:rsidP="00C35652">
      <w:r>
        <w:t>Figures S</w:t>
      </w:r>
      <w:r w:rsidR="009505FB">
        <w:t>3</w:t>
      </w:r>
      <w:r>
        <w:t xml:space="preserve"> and S</w:t>
      </w:r>
      <w:r w:rsidR="009505FB">
        <w:t>4</w:t>
      </w:r>
      <w:r>
        <w:t xml:space="preserve"> support the argument made in the main text that the baseline scenario is characterized by </w:t>
      </w:r>
      <w:r w:rsidR="00975E25">
        <w:t xml:space="preserve">(i) </w:t>
      </w:r>
      <w:r>
        <w:t xml:space="preserve">growing </w:t>
      </w:r>
      <w:r w:rsidR="00B028A1">
        <w:t xml:space="preserve">total </w:t>
      </w:r>
      <w:r>
        <w:t xml:space="preserve">final energy demand </w:t>
      </w:r>
      <w:r w:rsidR="00975E25">
        <w:t>and (ii)</w:t>
      </w:r>
      <w:r>
        <w:t xml:space="preserve"> a shift in regional and structural use</w:t>
      </w:r>
      <w:r w:rsidR="00B028A1">
        <w:t xml:space="preserve"> of final energy</w:t>
      </w:r>
      <w:r>
        <w:t xml:space="preserve">.  </w:t>
      </w:r>
      <w:r w:rsidR="00C92931">
        <w:t xml:space="preserve">Biomass (mainly traditional use), coal </w:t>
      </w:r>
      <w:r w:rsidR="00A47878">
        <w:t xml:space="preserve">in solid form </w:t>
      </w:r>
      <w:r w:rsidR="00C92931">
        <w:t xml:space="preserve">and non-transport liquids grow only slightly, whereas the use of transportation fuels, gases and electricity grow strongly. Hydrogen use is only of minor importance. </w:t>
      </w:r>
    </w:p>
    <w:p w:rsidR="000919F2" w:rsidRDefault="000E1C14" w:rsidP="00C35652">
      <w:pPr>
        <w:jc w:val="center"/>
      </w:pPr>
      <w:r>
        <w:rPr>
          <w:noProof/>
        </w:rPr>
        <w:drawing>
          <wp:inline distT="0" distB="0" distL="0" distR="0">
            <wp:extent cx="2937600" cy="2203200"/>
            <wp:effectExtent l="0" t="0" r="0" b="6985"/>
            <wp:docPr id="6" name="Picture 6" descr="D:\texte\1107_fossils\data1208\figs\SIfe_f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1107_fossils\data1208\figs\SIfe_fetyp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7600" cy="2203200"/>
                    </a:xfrm>
                    <a:prstGeom prst="rect">
                      <a:avLst/>
                    </a:prstGeom>
                    <a:noFill/>
                    <a:ln>
                      <a:noFill/>
                    </a:ln>
                  </pic:spPr>
                </pic:pic>
              </a:graphicData>
            </a:graphic>
          </wp:inline>
        </w:drawing>
      </w:r>
    </w:p>
    <w:p w:rsidR="00C35652" w:rsidRPr="006E56A1" w:rsidRDefault="00B0798D" w:rsidP="00C35652">
      <w:pPr>
        <w:rPr>
          <w:rStyle w:val="Strong"/>
        </w:rPr>
      </w:pPr>
      <w:r>
        <w:rPr>
          <w:rStyle w:val="Strong"/>
        </w:rPr>
        <w:t>Figure S</w:t>
      </w:r>
      <w:r w:rsidR="00AC14EA" w:rsidRPr="009505FB">
        <w:rPr>
          <w:rStyle w:val="Strong"/>
        </w:rPr>
        <w:t>3</w:t>
      </w:r>
      <w:r w:rsidR="00C35652" w:rsidRPr="009505FB">
        <w:rPr>
          <w:rStyle w:val="Strong"/>
        </w:rPr>
        <w:t>:</w:t>
      </w:r>
      <w:r w:rsidR="00C35652" w:rsidRPr="006E56A1">
        <w:rPr>
          <w:rStyle w:val="Strong"/>
        </w:rPr>
        <w:t xml:space="preserve"> Global final energy consumption differentiated by final energy type. The vertical dashed line separates historical data and the scenario pathway. Historical data is taken from IEA (2007).</w:t>
      </w:r>
    </w:p>
    <w:p w:rsidR="00F006CF" w:rsidRDefault="00F006CF">
      <w:r>
        <w:br w:type="page"/>
      </w:r>
    </w:p>
    <w:p w:rsidR="001840AE" w:rsidRDefault="00A47878" w:rsidP="00C35652">
      <w:r>
        <w:lastRenderedPageBreak/>
        <w:t>Figure S</w:t>
      </w:r>
      <w:r w:rsidR="0082516D">
        <w:t>4</w:t>
      </w:r>
      <w:r>
        <w:t xml:space="preserve"> highlights the shift in regional allocation of final energy use. Most of the growth in final energy use is driven by strong economic growth</w:t>
      </w:r>
      <w:r w:rsidR="00D15745">
        <w:t xml:space="preserve"> in Latin America, Africa, China, India, Other Asia and the Middle East. </w:t>
      </w:r>
      <w:r w:rsidR="00B028A1">
        <w:t>Sectoral</w:t>
      </w:r>
      <w:r w:rsidR="00F006CF">
        <w:t xml:space="preserve"> and</w:t>
      </w:r>
      <w:r w:rsidR="00D15745">
        <w:t xml:space="preserve"> regional shift</w:t>
      </w:r>
      <w:r w:rsidR="00B028A1">
        <w:t>s</w:t>
      </w:r>
      <w:r w:rsidR="00D15745">
        <w:t xml:space="preserve"> are interrelated as the growing economies are also modernizing their final energy supply.  </w:t>
      </w:r>
    </w:p>
    <w:p w:rsidR="0031130E" w:rsidRDefault="000E1C14" w:rsidP="00C54F0A">
      <w:pPr>
        <w:jc w:val="center"/>
      </w:pPr>
      <w:r>
        <w:rPr>
          <w:noProof/>
        </w:rPr>
        <w:drawing>
          <wp:inline distT="0" distB="0" distL="0" distR="0">
            <wp:extent cx="2937600" cy="2203200"/>
            <wp:effectExtent l="0" t="0" r="0" b="6985"/>
            <wp:docPr id="7" name="Picture 7" descr="D:\texte\1107_fossils\data1208\figs\SIfe_regs_REMIND_ROF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xte\1107_fossils\data1208\figs\SIfe_regs_REMIND_ROFE1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7600" cy="2203200"/>
                    </a:xfrm>
                    <a:prstGeom prst="rect">
                      <a:avLst/>
                    </a:prstGeom>
                    <a:noFill/>
                    <a:ln>
                      <a:noFill/>
                    </a:ln>
                  </pic:spPr>
                </pic:pic>
              </a:graphicData>
            </a:graphic>
          </wp:inline>
        </w:drawing>
      </w:r>
    </w:p>
    <w:p w:rsidR="000919F2" w:rsidRDefault="00AC14EA">
      <w:pPr>
        <w:rPr>
          <w:rStyle w:val="Strong"/>
        </w:rPr>
      </w:pPr>
      <w:r w:rsidRPr="009505FB">
        <w:rPr>
          <w:rStyle w:val="Strong"/>
        </w:rPr>
        <w:t>Figure S4</w:t>
      </w:r>
      <w:r w:rsidR="00C35652" w:rsidRPr="009505FB">
        <w:rPr>
          <w:rStyle w:val="Strong"/>
        </w:rPr>
        <w:t>: Global</w:t>
      </w:r>
      <w:r w:rsidR="00C35652" w:rsidRPr="006E56A1">
        <w:rPr>
          <w:rStyle w:val="Strong"/>
        </w:rPr>
        <w:t xml:space="preserve"> final energy consumpt</w:t>
      </w:r>
      <w:r w:rsidR="009C4C6B" w:rsidRPr="006E56A1">
        <w:rPr>
          <w:rStyle w:val="Strong"/>
        </w:rPr>
        <w:t xml:space="preserve">ion </w:t>
      </w:r>
      <w:r w:rsidR="00C35652" w:rsidRPr="006E56A1">
        <w:rPr>
          <w:rStyle w:val="Strong"/>
        </w:rPr>
        <w:t xml:space="preserve">differentiated by consuming region. </w:t>
      </w:r>
      <w:r w:rsidR="009C4C6B" w:rsidRPr="006E56A1">
        <w:rPr>
          <w:rStyle w:val="Strong"/>
        </w:rPr>
        <w:t>The vertical dashed line separates historical data and the scenario pathway. Historical data is taken from IEA (2007).</w:t>
      </w:r>
    </w:p>
    <w:p w:rsidR="001B02D4" w:rsidRDefault="00EC4211" w:rsidP="001B02D4">
      <w:pPr>
        <w:rPr>
          <w:rStyle w:val="Strong"/>
          <w:b w:val="0"/>
        </w:rPr>
      </w:pPr>
      <w:r>
        <w:rPr>
          <w:rStyle w:val="Strong"/>
          <w:b w:val="0"/>
        </w:rPr>
        <w:t>Figure S</w:t>
      </w:r>
      <w:r w:rsidR="009505FB">
        <w:rPr>
          <w:rStyle w:val="Strong"/>
          <w:b w:val="0"/>
        </w:rPr>
        <w:t>5</w:t>
      </w:r>
      <w:r w:rsidR="001B02D4" w:rsidRPr="001B02D4">
        <w:rPr>
          <w:rStyle w:val="Strong"/>
          <w:b w:val="0"/>
        </w:rPr>
        <w:t xml:space="preserve"> sho</w:t>
      </w:r>
      <w:r w:rsidR="001B02D4">
        <w:rPr>
          <w:rStyle w:val="Strong"/>
          <w:b w:val="0"/>
        </w:rPr>
        <w:t>ws the CO</w:t>
      </w:r>
      <w:r w:rsidR="001B02D4" w:rsidRPr="00830BBF">
        <w:rPr>
          <w:rStyle w:val="Strong"/>
          <w:b w:val="0"/>
          <w:vertAlign w:val="subscript"/>
        </w:rPr>
        <w:t>2</w:t>
      </w:r>
      <w:r w:rsidR="001B02D4">
        <w:rPr>
          <w:rStyle w:val="Strong"/>
          <w:b w:val="0"/>
        </w:rPr>
        <w:t xml:space="preserve"> emissions by region</w:t>
      </w:r>
      <w:r w:rsidR="00B76118">
        <w:rPr>
          <w:rStyle w:val="Strong"/>
          <w:b w:val="0"/>
        </w:rPr>
        <w:t xml:space="preserve"> from 2005 to 2100. The absolute amount and the regional shift mirror the changes in the energy system. The continued use of coal and the regional shift of economic activity towards developing countries </w:t>
      </w:r>
      <w:r w:rsidR="009505FB">
        <w:rPr>
          <w:rStyle w:val="Strong"/>
          <w:b w:val="0"/>
        </w:rPr>
        <w:t xml:space="preserve">drives </w:t>
      </w:r>
      <w:r w:rsidR="00B028A1">
        <w:rPr>
          <w:rStyle w:val="Strong"/>
          <w:b w:val="0"/>
        </w:rPr>
        <w:t>emissions</w:t>
      </w:r>
      <w:r w:rsidR="00B76118">
        <w:rPr>
          <w:rStyle w:val="Strong"/>
          <w:b w:val="0"/>
        </w:rPr>
        <w:t xml:space="preserve"> in the absence of targeted </w:t>
      </w:r>
      <w:r w:rsidR="00B028A1">
        <w:rPr>
          <w:rStyle w:val="Strong"/>
          <w:b w:val="0"/>
        </w:rPr>
        <w:t xml:space="preserve">climate </w:t>
      </w:r>
      <w:r w:rsidR="00A40A1C">
        <w:rPr>
          <w:rStyle w:val="Strong"/>
          <w:b w:val="0"/>
        </w:rPr>
        <w:t>policies</w:t>
      </w:r>
      <w:r w:rsidR="00B028A1">
        <w:rPr>
          <w:rStyle w:val="Strong"/>
          <w:b w:val="0"/>
        </w:rPr>
        <w:t xml:space="preserve">, </w:t>
      </w:r>
      <w:proofErr w:type="gramStart"/>
      <w:r w:rsidR="00B028A1">
        <w:rPr>
          <w:rStyle w:val="Strong"/>
          <w:b w:val="0"/>
        </w:rPr>
        <w:t xml:space="preserve">and </w:t>
      </w:r>
      <w:r w:rsidR="00A40A1C">
        <w:rPr>
          <w:rStyle w:val="Strong"/>
          <w:b w:val="0"/>
        </w:rPr>
        <w:t xml:space="preserve"> </w:t>
      </w:r>
      <w:r w:rsidR="00B76118">
        <w:rPr>
          <w:rStyle w:val="Strong"/>
          <w:b w:val="0"/>
        </w:rPr>
        <w:t>combine</w:t>
      </w:r>
      <w:r w:rsidR="000402CE">
        <w:rPr>
          <w:rStyle w:val="Strong"/>
          <w:b w:val="0"/>
        </w:rPr>
        <w:t>s</w:t>
      </w:r>
      <w:proofErr w:type="gramEnd"/>
      <w:r w:rsidR="00B0798D">
        <w:rPr>
          <w:rStyle w:val="Strong"/>
          <w:b w:val="0"/>
        </w:rPr>
        <w:t xml:space="preserve"> </w:t>
      </w:r>
      <w:r w:rsidR="00B76118">
        <w:rPr>
          <w:rStyle w:val="Strong"/>
          <w:b w:val="0"/>
        </w:rPr>
        <w:t xml:space="preserve">with </w:t>
      </w:r>
      <w:r w:rsidR="009505FB">
        <w:rPr>
          <w:rStyle w:val="Strong"/>
          <w:b w:val="0"/>
        </w:rPr>
        <w:t xml:space="preserve">roughly </w:t>
      </w:r>
      <w:r w:rsidR="00B76118">
        <w:rPr>
          <w:rStyle w:val="Strong"/>
          <w:b w:val="0"/>
        </w:rPr>
        <w:t xml:space="preserve">stagnant emissions from </w:t>
      </w:r>
      <w:r w:rsidR="00B028A1">
        <w:rPr>
          <w:rStyle w:val="Strong"/>
          <w:b w:val="0"/>
        </w:rPr>
        <w:t>industrialized</w:t>
      </w:r>
      <w:r w:rsidR="00B76118">
        <w:rPr>
          <w:rStyle w:val="Strong"/>
          <w:b w:val="0"/>
        </w:rPr>
        <w:t xml:space="preserve"> countries.</w:t>
      </w:r>
    </w:p>
    <w:p w:rsidR="00830BBF" w:rsidRDefault="00830BBF" w:rsidP="00830BBF">
      <w:pPr>
        <w:jc w:val="center"/>
        <w:rPr>
          <w:rStyle w:val="Strong"/>
          <w:b w:val="0"/>
        </w:rPr>
      </w:pPr>
      <w:r>
        <w:rPr>
          <w:bCs/>
          <w:noProof/>
        </w:rPr>
        <w:drawing>
          <wp:inline distT="0" distB="0" distL="0" distR="0">
            <wp:extent cx="2937600" cy="2203200"/>
            <wp:effectExtent l="0" t="0" r="0" b="6985"/>
            <wp:docPr id="12" name="Picture 12" descr="D:\texte\1107_fossils\data1208\figs\SIco2_regs_REMIND_ROFE111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exte\1107_fossils\data1208\figs\SIco2_regs_REMIND_ROFE111_Afric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7600" cy="2203200"/>
                    </a:xfrm>
                    <a:prstGeom prst="rect">
                      <a:avLst/>
                    </a:prstGeom>
                    <a:noFill/>
                    <a:ln>
                      <a:noFill/>
                    </a:ln>
                  </pic:spPr>
                </pic:pic>
              </a:graphicData>
            </a:graphic>
          </wp:inline>
        </w:drawing>
      </w:r>
    </w:p>
    <w:p w:rsidR="00830BBF" w:rsidRPr="00830BBF" w:rsidRDefault="00830BBF" w:rsidP="001B02D4">
      <w:pPr>
        <w:rPr>
          <w:rStyle w:val="Strong"/>
        </w:rPr>
      </w:pPr>
      <w:r w:rsidRPr="009505FB">
        <w:rPr>
          <w:rStyle w:val="Strong"/>
        </w:rPr>
        <w:t>Figure S</w:t>
      </w:r>
      <w:r w:rsidR="00AC14EA" w:rsidRPr="009505FB">
        <w:rPr>
          <w:rStyle w:val="Strong"/>
        </w:rPr>
        <w:t>5</w:t>
      </w:r>
      <w:r w:rsidRPr="009505FB">
        <w:rPr>
          <w:rStyle w:val="Strong"/>
        </w:rPr>
        <w:t>:</w:t>
      </w:r>
      <w:r w:rsidRPr="006E56A1">
        <w:rPr>
          <w:rStyle w:val="Strong"/>
        </w:rPr>
        <w:t xml:space="preserve"> Global </w:t>
      </w:r>
      <w:r>
        <w:rPr>
          <w:rStyle w:val="Strong"/>
        </w:rPr>
        <w:t>CO</w:t>
      </w:r>
      <w:r w:rsidRPr="00830BBF">
        <w:rPr>
          <w:rStyle w:val="Strong"/>
          <w:vertAlign w:val="subscript"/>
        </w:rPr>
        <w:t>2</w:t>
      </w:r>
      <w:r>
        <w:rPr>
          <w:rStyle w:val="Strong"/>
        </w:rPr>
        <w:t xml:space="preserve"> emissions from fossil fuels and industry </w:t>
      </w:r>
      <w:r w:rsidRPr="006E56A1">
        <w:rPr>
          <w:rStyle w:val="Strong"/>
        </w:rPr>
        <w:t>differentiated by region</w:t>
      </w:r>
      <w:r>
        <w:rPr>
          <w:rStyle w:val="Strong"/>
        </w:rPr>
        <w:t xml:space="preserve"> 2005-2100</w:t>
      </w:r>
      <w:r w:rsidRPr="006E56A1">
        <w:rPr>
          <w:rStyle w:val="Strong"/>
        </w:rPr>
        <w:t xml:space="preserve">. </w:t>
      </w:r>
    </w:p>
    <w:p w:rsidR="00B0798D" w:rsidRDefault="00B0798D">
      <w:pPr>
        <w:rPr>
          <w:rFonts w:asciiTheme="majorHAnsi" w:eastAsiaTheme="majorEastAsia" w:hAnsiTheme="majorHAnsi" w:cstheme="majorBidi"/>
          <w:b/>
          <w:bCs/>
          <w:color w:val="4F81BD" w:themeColor="accent1"/>
        </w:rPr>
      </w:pPr>
      <w:r>
        <w:br w:type="page"/>
      </w:r>
    </w:p>
    <w:p w:rsidR="000919F2" w:rsidRDefault="000919F2" w:rsidP="009769FC">
      <w:pPr>
        <w:pStyle w:val="Heading3"/>
      </w:pPr>
      <w:r>
        <w:lastRenderedPageBreak/>
        <w:t xml:space="preserve">Fossil Fuel Extraction Paths  </w:t>
      </w:r>
    </w:p>
    <w:p w:rsidR="000919F2" w:rsidRDefault="001909D5" w:rsidP="000919F2">
      <w:r>
        <w:rPr>
          <w:noProof/>
        </w:rPr>
        <w:drawing>
          <wp:inline distT="0" distB="0" distL="0" distR="0">
            <wp:extent cx="1911600" cy="1432800"/>
            <wp:effectExtent l="0" t="0" r="0" b="0"/>
            <wp:docPr id="2" name="Picture 2" descr="D:\texte\1107_fossils\data1208\figs\OilGLOQuanbysc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1107_fossils\data1208\figs\OilGLOQuanbyscen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r>
        <w:rPr>
          <w:noProof/>
        </w:rPr>
        <w:drawing>
          <wp:inline distT="0" distB="0" distL="0" distR="0">
            <wp:extent cx="1911600" cy="1432800"/>
            <wp:effectExtent l="0" t="0" r="0" b="0"/>
            <wp:docPr id="3" name="Picture 3" descr="D:\texte\1107_fossils\data1208\figs\Natural GasGLOQuanbysc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xte\1107_fossils\data1208\figs\Natural GasGLOQuanbyscen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r>
        <w:rPr>
          <w:noProof/>
        </w:rPr>
        <w:drawing>
          <wp:inline distT="0" distB="0" distL="0" distR="0" wp14:anchorId="0477F172" wp14:editId="0876609C">
            <wp:extent cx="1911600" cy="1432800"/>
            <wp:effectExtent l="0" t="0" r="0" b="0"/>
            <wp:docPr id="4" name="Picture 4" descr="D:\texte\1107_fossils\data1208\figs\CoalGLOQuanbysc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xte\1107_fossils\data1208\figs\CoalGLOQuanbyscen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p>
    <w:p w:rsidR="000919F2" w:rsidRPr="00B0798D" w:rsidRDefault="000919F2" w:rsidP="000919F2">
      <w:pPr>
        <w:rPr>
          <w:b/>
        </w:rPr>
      </w:pPr>
      <w:r w:rsidRPr="00B0798D">
        <w:rPr>
          <w:b/>
        </w:rPr>
        <w:t>Figure S</w:t>
      </w:r>
      <w:r w:rsidR="00C76737" w:rsidRPr="00B0798D">
        <w:rPr>
          <w:b/>
        </w:rPr>
        <w:t>6</w:t>
      </w:r>
      <w:r w:rsidRPr="00B0798D">
        <w:rPr>
          <w:b/>
        </w:rPr>
        <w:t xml:space="preserve">: </w:t>
      </w:r>
      <w:r w:rsidR="001909D5" w:rsidRPr="00B0798D">
        <w:rPr>
          <w:b/>
        </w:rPr>
        <w:t xml:space="preserve">Global </w:t>
      </w:r>
      <w:r w:rsidR="0097588A" w:rsidRPr="00B0798D">
        <w:rPr>
          <w:b/>
        </w:rPr>
        <w:t>e</w:t>
      </w:r>
      <w:r w:rsidR="001909D5" w:rsidRPr="00B0798D">
        <w:rPr>
          <w:b/>
        </w:rPr>
        <w:t>xtraction of oil, gas and coal</w:t>
      </w:r>
      <w:r w:rsidRPr="00B0798D">
        <w:rPr>
          <w:b/>
        </w:rPr>
        <w:t xml:space="preserve"> 2010 – 2100 differentiated by cost grade</w:t>
      </w:r>
      <w:r w:rsidR="001909D5" w:rsidRPr="00B0798D">
        <w:rPr>
          <w:b/>
        </w:rPr>
        <w:t>s</w:t>
      </w:r>
      <w:r w:rsidRPr="00B0798D">
        <w:rPr>
          <w:b/>
        </w:rPr>
        <w:t>.</w:t>
      </w:r>
    </w:p>
    <w:p w:rsidR="001909D5" w:rsidRDefault="009505FB" w:rsidP="000919F2">
      <w:r>
        <w:t xml:space="preserve">The fossil fuel extraction paths shown in Figure S6 </w:t>
      </w:r>
      <w:r w:rsidR="004F5688">
        <w:t>describe</w:t>
      </w:r>
      <w:r w:rsidR="000402CE">
        <w:t xml:space="preserve"> </w:t>
      </w:r>
      <w:r>
        <w:t xml:space="preserve">the extraction dynamics </w:t>
      </w:r>
      <w:r w:rsidR="000E6B76">
        <w:t>underl</w:t>
      </w:r>
      <w:r w:rsidR="005E13E8">
        <w:t>ying</w:t>
      </w:r>
      <w:r w:rsidR="004F5688">
        <w:t xml:space="preserve"> </w:t>
      </w:r>
      <w:r>
        <w:t>the price formation. The colored patches represent the extraction from different grades that are characterized by increasing marginal costs.</w:t>
      </w:r>
      <w:r w:rsidR="002112FE">
        <w:t xml:space="preserve"> </w:t>
      </w:r>
      <w:r w:rsidR="005E13E8">
        <w:t>V</w:t>
      </w:r>
      <w:r>
        <w:t xml:space="preserve">arious grades are </w:t>
      </w:r>
      <w:r w:rsidR="005E13E8">
        <w:t>exploited at any given point in time</w:t>
      </w:r>
      <w:r>
        <w:t xml:space="preserve">. Grades with higher costs are entering the market as grades with lower marginal costs </w:t>
      </w:r>
      <w:r w:rsidR="005E13E8">
        <w:t xml:space="preserve">phase </w:t>
      </w:r>
      <w:r>
        <w:t>ou</w:t>
      </w:r>
      <w:r w:rsidR="005E13E8">
        <w:t>t</w:t>
      </w:r>
      <w:r>
        <w:t xml:space="preserve"> production in accordance with the decline rates. </w:t>
      </w:r>
    </w:p>
    <w:p w:rsidR="0097588A" w:rsidRDefault="0097588A" w:rsidP="000919F2">
      <w:r>
        <w:t>As has been pointed out in the main part of the paper</w:t>
      </w:r>
      <w:r w:rsidR="005E13E8">
        <w:t>,</w:t>
      </w:r>
      <w:r>
        <w:t xml:space="preserve"> the </w:t>
      </w:r>
      <w:r w:rsidR="005E13E8">
        <w:t xml:space="preserve">flow constraints drive </w:t>
      </w:r>
      <w:r>
        <w:t xml:space="preserve">prices </w:t>
      </w:r>
      <w:r w:rsidR="005E13E8">
        <w:t xml:space="preserve">higher than would be suggested by the long term extraction cost curves. </w:t>
      </w:r>
      <w:r>
        <w:t xml:space="preserve">. This mechanism can be exemplified with the fifth grade of oil production that starts at marginal costs of 11US$/GJ. Production from this grade enters the market in 2030. </w:t>
      </w:r>
      <w:r w:rsidR="005E13E8">
        <w:t>Although</w:t>
      </w:r>
      <w:r w:rsidR="002112FE">
        <w:t xml:space="preserve"> </w:t>
      </w:r>
      <w:r w:rsidR="005E13E8">
        <w:t>t</w:t>
      </w:r>
      <w:r>
        <w:t xml:space="preserve">he contribution is very small at that time, the </w:t>
      </w:r>
      <w:r w:rsidR="005E13E8">
        <w:t xml:space="preserve">oil </w:t>
      </w:r>
      <w:r>
        <w:t xml:space="preserve">price </w:t>
      </w:r>
      <w:r w:rsidR="005E13E8">
        <w:t>is set by this grade</w:t>
      </w:r>
      <w:r>
        <w:t xml:space="preserve"> </w:t>
      </w:r>
      <w:r w:rsidR="005E13E8">
        <w:t xml:space="preserve">(see </w:t>
      </w:r>
      <w:r>
        <w:t>Figure 2 of the main paper</w:t>
      </w:r>
      <w:r w:rsidR="005E13E8">
        <w:t>)</w:t>
      </w:r>
      <w:r>
        <w:t xml:space="preserve">. </w:t>
      </w:r>
    </w:p>
    <w:p w:rsidR="0097588A" w:rsidRDefault="0097588A">
      <w:pPr>
        <w:rPr>
          <w:rFonts w:asciiTheme="majorHAnsi" w:eastAsiaTheme="majorEastAsia" w:hAnsiTheme="majorHAnsi" w:cstheme="majorBidi"/>
          <w:b/>
          <w:bCs/>
          <w:i/>
          <w:iCs/>
          <w:color w:val="4F81BD" w:themeColor="accent1"/>
        </w:rPr>
      </w:pPr>
      <w:r>
        <w:br w:type="page"/>
      </w:r>
    </w:p>
    <w:p w:rsidR="0097588A" w:rsidRDefault="0097588A" w:rsidP="009769FC">
      <w:pPr>
        <w:pStyle w:val="Heading3"/>
      </w:pPr>
      <w:r>
        <w:lastRenderedPageBreak/>
        <w:t xml:space="preserve">Fossil Fuel Prices, </w:t>
      </w:r>
      <w:r w:rsidR="006D746E">
        <w:t>Extraction</w:t>
      </w:r>
      <w:r>
        <w:t xml:space="preserve"> </w:t>
      </w:r>
      <w:r w:rsidR="006D746E">
        <w:t>C</w:t>
      </w:r>
      <w:r>
        <w:t>osts</w:t>
      </w:r>
      <w:r w:rsidR="006D746E">
        <w:t>, Transportation Costs</w:t>
      </w:r>
      <w:r>
        <w:t xml:space="preserve"> and </w:t>
      </w:r>
      <w:r w:rsidR="006D746E">
        <w:t>R</w:t>
      </w:r>
      <w:r>
        <w:t>ents</w:t>
      </w:r>
    </w:p>
    <w:p w:rsidR="0097588A" w:rsidRDefault="0097588A" w:rsidP="0097588A">
      <w:r>
        <w:t>This Sub-Section</w:t>
      </w:r>
      <w:r w:rsidR="005E13E8">
        <w:t xml:space="preserve"> provides further </w:t>
      </w:r>
      <w:r w:rsidR="00B7006F">
        <w:t>information on</w:t>
      </w:r>
      <w:r>
        <w:t xml:space="preserve"> the relationship between prices, extraction costs, transportation costs and rents</w:t>
      </w:r>
      <w:r w:rsidR="002B74D1">
        <w:t xml:space="preserve">, all of which </w:t>
      </w:r>
      <w:proofErr w:type="gramStart"/>
      <w:r w:rsidR="002B74D1">
        <w:t xml:space="preserve">are </w:t>
      </w:r>
      <w:r w:rsidR="006F50FE">
        <w:t xml:space="preserve"> only</w:t>
      </w:r>
      <w:proofErr w:type="gramEnd"/>
      <w:r w:rsidR="00AE258C">
        <w:t xml:space="preserve"> briefly</w:t>
      </w:r>
      <w:r w:rsidR="006F50FE">
        <w:t xml:space="preserve"> discussed in the main paper</w:t>
      </w:r>
      <w:r>
        <w:t xml:space="preserve">. </w:t>
      </w:r>
      <w:r w:rsidR="00DB0CEC">
        <w:t xml:space="preserve">Also we present the calculation of the net present values of fossil fuel rents shown in Figures 3 and 7. </w:t>
      </w:r>
      <w:r w:rsidR="00EC4211">
        <w:t>Figure S7</w:t>
      </w:r>
      <w:r>
        <w:t xml:space="preserve"> shows prices, extraction costs and rents for oil, gas and coal in prototypical export (upper row) and import (bottom row) regions. </w:t>
      </w:r>
    </w:p>
    <w:p w:rsidR="0097588A" w:rsidRPr="0097588A" w:rsidRDefault="0097588A" w:rsidP="0097588A">
      <w:r>
        <w:t>For the case of oil i</w:t>
      </w:r>
      <w:r w:rsidR="002B74D1">
        <w:t>t</w:t>
      </w:r>
      <w:r>
        <w:t xml:space="preserve"> can be seen that the prices are nearly the same in ME</w:t>
      </w:r>
      <w:r w:rsidR="002112FE">
        <w:t>N</w:t>
      </w:r>
      <w:r>
        <w:t>A an</w:t>
      </w:r>
      <w:r w:rsidR="006F50FE">
        <w:t>d</w:t>
      </w:r>
      <w:r>
        <w:t xml:space="preserve"> the US. The production costs are different though, and therefore the rent</w:t>
      </w:r>
      <w:r w:rsidR="006F50FE">
        <w:t>s</w:t>
      </w:r>
      <w:r>
        <w:t xml:space="preserve"> per unit of energy are different</w:t>
      </w:r>
      <w:r w:rsidR="002B74D1">
        <w:t>, with</w:t>
      </w:r>
      <w:r>
        <w:t xml:space="preserve"> </w:t>
      </w:r>
      <w:r w:rsidR="002B74D1">
        <w:t>p</w:t>
      </w:r>
      <w:r>
        <w:t xml:space="preserve">roducers of oil in the MEA region able to </w:t>
      </w:r>
      <w:r w:rsidR="002B74D1">
        <w:t xml:space="preserve">obtain </w:t>
      </w:r>
      <w:r>
        <w:t xml:space="preserve">a higher rent than US producers. </w:t>
      </w:r>
      <w:r w:rsidR="00F006CF">
        <w:t>As might be expected,</w:t>
      </w:r>
      <w:r w:rsidR="006F50FE">
        <w:t xml:space="preserve"> rent</w:t>
      </w:r>
      <w:r w:rsidR="0042383F">
        <w:t>s</w:t>
      </w:r>
      <w:r w:rsidR="006F50FE">
        <w:t xml:space="preserve"> per unit of energy </w:t>
      </w:r>
      <w:r w:rsidR="0042383F">
        <w:t>are</w:t>
      </w:r>
      <w:r w:rsidR="006F50FE">
        <w:t xml:space="preserve"> higher in exporting than in importing region.</w:t>
      </w:r>
    </w:p>
    <w:p w:rsidR="0097588A" w:rsidRDefault="0097588A" w:rsidP="0097588A">
      <w:pPr>
        <w:jc w:val="center"/>
      </w:pPr>
      <w:r>
        <w:rPr>
          <w:noProof/>
        </w:rPr>
        <w:drawing>
          <wp:inline distT="0" distB="0" distL="0" distR="0" wp14:anchorId="4B0FF3B1" wp14:editId="3E04AA96">
            <wp:extent cx="1904400" cy="1429200"/>
            <wp:effectExtent l="0" t="0" r="635" b="0"/>
            <wp:docPr id="1" name="Picture 1" descr="D:\texte\1107_fossils\data1208\figs\SIprice_regs_Crude Oil_MEA_REMIND_ROF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1107_fossils\data1208\figs\SIprice_regs_Crude Oil_MEA_REMIND_ROFE11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4400" cy="1429200"/>
                    </a:xfrm>
                    <a:prstGeom prst="rect">
                      <a:avLst/>
                    </a:prstGeom>
                    <a:noFill/>
                    <a:ln>
                      <a:noFill/>
                    </a:ln>
                  </pic:spPr>
                </pic:pic>
              </a:graphicData>
            </a:graphic>
          </wp:inline>
        </w:drawing>
      </w:r>
      <w:r>
        <w:rPr>
          <w:noProof/>
        </w:rPr>
        <w:drawing>
          <wp:inline distT="0" distB="0" distL="0" distR="0" wp14:anchorId="54111BCD" wp14:editId="2F64631C">
            <wp:extent cx="1904400" cy="1429200"/>
            <wp:effectExtent l="0" t="0" r="635" b="0"/>
            <wp:docPr id="22" name="Picture 22" descr="D:\texte\1107_fossils\data1208\figs\SIprice_regs_Natural Gas_FSU_REMIND_ROF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exte\1107_fossils\data1208\figs\SIprice_regs_Natural Gas_FSU_REMIND_ROFE11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4400" cy="1429200"/>
                    </a:xfrm>
                    <a:prstGeom prst="rect">
                      <a:avLst/>
                    </a:prstGeom>
                    <a:noFill/>
                    <a:ln>
                      <a:noFill/>
                    </a:ln>
                  </pic:spPr>
                </pic:pic>
              </a:graphicData>
            </a:graphic>
          </wp:inline>
        </w:drawing>
      </w:r>
      <w:r>
        <w:rPr>
          <w:noProof/>
        </w:rPr>
        <w:drawing>
          <wp:inline distT="0" distB="0" distL="0" distR="0" wp14:anchorId="393B08A2" wp14:editId="28C6F210">
            <wp:extent cx="1904400" cy="1429200"/>
            <wp:effectExtent l="0" t="0" r="635" b="0"/>
            <wp:docPr id="25" name="Picture 25" descr="D:\texte\1107_fossils\data1208\figs\SIprice_regs_Coal_FSU_REMIND_ROF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texte\1107_fossils\data1208\figs\SIprice_regs_Coal_FSU_REMIND_ROFE11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4400" cy="1429200"/>
                    </a:xfrm>
                    <a:prstGeom prst="rect">
                      <a:avLst/>
                    </a:prstGeom>
                    <a:noFill/>
                    <a:ln>
                      <a:noFill/>
                    </a:ln>
                  </pic:spPr>
                </pic:pic>
              </a:graphicData>
            </a:graphic>
          </wp:inline>
        </w:drawing>
      </w:r>
    </w:p>
    <w:p w:rsidR="0097588A" w:rsidRDefault="0097588A" w:rsidP="0097588A">
      <w:pPr>
        <w:jc w:val="center"/>
      </w:pPr>
      <w:r>
        <w:rPr>
          <w:noProof/>
        </w:rPr>
        <w:drawing>
          <wp:inline distT="0" distB="0" distL="0" distR="0" wp14:anchorId="73412707" wp14:editId="258321DE">
            <wp:extent cx="1911600" cy="1432800"/>
            <wp:effectExtent l="0" t="0" r="0" b="0"/>
            <wp:docPr id="30" name="Picture 30" descr="D:\texte\1107_fossils\data1208\figs\SIprice_regs_Crude Oil_USA_REMIND_ROF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texte\1107_fossils\data1208\figs\SIprice_regs_Crude Oil_USA_REMIND_ROFE11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r>
        <w:rPr>
          <w:noProof/>
        </w:rPr>
        <w:drawing>
          <wp:inline distT="0" distB="0" distL="0" distR="0" wp14:anchorId="32B711E6" wp14:editId="34366CA3">
            <wp:extent cx="1904400" cy="1429200"/>
            <wp:effectExtent l="0" t="0" r="635" b="0"/>
            <wp:docPr id="23" name="Picture 23" descr="D:\texte\1107_fossils\data1208\figs\SIprice_regs_Natural Gas_EUR_REMIND_ROF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texte\1107_fossils\data1208\figs\SIprice_regs_Natural Gas_EUR_REMIND_ROFE11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4400" cy="1429200"/>
                    </a:xfrm>
                    <a:prstGeom prst="rect">
                      <a:avLst/>
                    </a:prstGeom>
                    <a:noFill/>
                    <a:ln>
                      <a:noFill/>
                    </a:ln>
                  </pic:spPr>
                </pic:pic>
              </a:graphicData>
            </a:graphic>
          </wp:inline>
        </w:drawing>
      </w:r>
      <w:r>
        <w:rPr>
          <w:noProof/>
        </w:rPr>
        <w:drawing>
          <wp:inline distT="0" distB="0" distL="0" distR="0" wp14:anchorId="26F27904" wp14:editId="3F195316">
            <wp:extent cx="1911600" cy="1432800"/>
            <wp:effectExtent l="0" t="0" r="0" b="0"/>
            <wp:docPr id="31" name="Picture 31" descr="D:\texte\1107_fossils\data1208\figs\SIprice_regs_Coal_CHN_REMIND_ROF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texte\1107_fossils\data1208\figs\SIprice_regs_Coal_CHN_REMIND_ROFE11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p>
    <w:p w:rsidR="0097588A" w:rsidRPr="00EC4211" w:rsidRDefault="00EF5AFA" w:rsidP="0097588A">
      <w:pPr>
        <w:rPr>
          <w:b/>
        </w:rPr>
      </w:pPr>
      <w:r w:rsidRPr="00EC4211">
        <w:rPr>
          <w:b/>
        </w:rPr>
        <w:t>Figure SI7</w:t>
      </w:r>
      <w:r w:rsidR="0097588A" w:rsidRPr="00EC4211">
        <w:rPr>
          <w:b/>
        </w:rPr>
        <w:t>: Prices, average domestic supply costs and rents of fossil fuels in selected export and import regions 2010 – 2100.</w:t>
      </w:r>
    </w:p>
    <w:p w:rsidR="0097588A" w:rsidRDefault="0097588A" w:rsidP="000919F2">
      <w:r>
        <w:t xml:space="preserve">The case is different for gas and coal, where transportation costs are more important and, thus, regional price differences are more pronounced than </w:t>
      </w:r>
      <w:r w:rsidR="006F50FE">
        <w:t>in the case of</w:t>
      </w:r>
      <w:r>
        <w:t xml:space="preserve"> oil</w:t>
      </w:r>
      <w:r w:rsidR="006F50FE">
        <w:t xml:space="preserve">. Hence, the gas price in Russia is lower </w:t>
      </w:r>
      <w:r w:rsidR="007D68FB">
        <w:t xml:space="preserve">than </w:t>
      </w:r>
      <w:r w:rsidR="006F50FE">
        <w:t xml:space="preserve">in EU-27. In Russia the rent per energy unit is smaller than in EU-27 because the production costs are closer to the price than in EU-27. Hence, gas producers in the importing region receive a higher average rent than producers in the exporting region. The same observation holds for coal. Hence, regional distribution of rents per unit of oil follows different rules than rents per unit of gas and coal, because of the regional price differences induced by the transportation costs. </w:t>
      </w:r>
    </w:p>
    <w:p w:rsidR="00EF5AFA" w:rsidRDefault="00242A1B">
      <w:pPr>
        <w:rPr>
          <w:rFonts w:asciiTheme="majorHAnsi" w:eastAsiaTheme="majorEastAsia" w:hAnsiTheme="majorHAnsi" w:cstheme="majorBidi"/>
          <w:b/>
          <w:bCs/>
          <w:i/>
          <w:iCs/>
          <w:color w:val="4F81BD" w:themeColor="accent1"/>
        </w:rPr>
      </w:pPr>
      <w:r>
        <w:t>The net present values of rents discussed in the main paper are computed as follows. The annual profits in each region consider the total extraction valued with the difference between the domestic price and the extraction costs plus the domestic transportation costs. The exporters receive the domestic price at the border</w:t>
      </w:r>
      <w:r w:rsidR="0011502A">
        <w:t xml:space="preserve"> and they have to cover the extraction costs and the domestic transportation costs</w:t>
      </w:r>
      <w:r>
        <w:t xml:space="preserve">. The </w:t>
      </w:r>
      <w:r>
        <w:lastRenderedPageBreak/>
        <w:t>transport costs</w:t>
      </w:r>
      <w:r w:rsidR="0011502A">
        <w:t xml:space="preserve"> for international trade equal the price mark-up that importers have to pay. Hence, exports and domestic consumption in exporting regions are treated equal</w:t>
      </w:r>
      <w:r w:rsidR="00DB0CEC">
        <w:t>l</w:t>
      </w:r>
      <w:r w:rsidR="0011502A">
        <w:t>y. This simple approach is valid because there are no exogenous limit</w:t>
      </w:r>
      <w:r w:rsidR="00AE258C">
        <w:t>s</w:t>
      </w:r>
      <w:r w:rsidR="0011502A">
        <w:t xml:space="preserve"> on trade that would drive a wedge between domestic prices and prices for fossil fuels that are exported. </w:t>
      </w:r>
    </w:p>
    <w:p w:rsidR="00242A1B" w:rsidRDefault="00242A1B">
      <w:pPr>
        <w:rPr>
          <w:rFonts w:asciiTheme="majorHAnsi" w:eastAsiaTheme="majorEastAsia" w:hAnsiTheme="majorHAnsi" w:cstheme="majorBidi"/>
          <w:b/>
          <w:bCs/>
          <w:color w:val="4F81BD" w:themeColor="accent1"/>
        </w:rPr>
      </w:pPr>
      <w:r>
        <w:br w:type="page"/>
      </w:r>
    </w:p>
    <w:p w:rsidR="000919F2" w:rsidRDefault="000919F2" w:rsidP="009769FC">
      <w:pPr>
        <w:pStyle w:val="Heading3"/>
      </w:pPr>
      <w:r>
        <w:lastRenderedPageBreak/>
        <w:t>Fossil Fuel Trade</w:t>
      </w:r>
    </w:p>
    <w:p w:rsidR="004965E5" w:rsidRPr="004965E5" w:rsidRDefault="004965E5" w:rsidP="004965E5">
      <w:r>
        <w:t xml:space="preserve">The trade in fossil fuels is of paramount importance for the development of future energy system. </w:t>
      </w:r>
      <w:r w:rsidR="0026721A">
        <w:t xml:space="preserve">The issue of energy security and the effects of climate policies will be analyzed in a separate paper </w:t>
      </w:r>
      <w:r w:rsidR="0042383F">
        <w:t xml:space="preserve">as part </w:t>
      </w:r>
      <w:r w:rsidR="0026721A">
        <w:t>of this Special Issue (</w:t>
      </w:r>
      <w:proofErr w:type="spellStart"/>
      <w:r w:rsidR="0026721A">
        <w:t>Cherp</w:t>
      </w:r>
      <w:proofErr w:type="spellEnd"/>
      <w:r w:rsidR="0026721A">
        <w:t xml:space="preserve"> et al.).</w:t>
      </w:r>
      <w:r w:rsidR="00DB0DCB">
        <w:t xml:space="preserve"> </w:t>
      </w:r>
      <w:r w:rsidR="009F231E">
        <w:t xml:space="preserve">Here </w:t>
      </w:r>
      <w:r w:rsidR="00DB0DCB">
        <w:t xml:space="preserve">we </w:t>
      </w:r>
      <w:r w:rsidR="009F231E">
        <w:t xml:space="preserve">provide details on </w:t>
      </w:r>
      <w:r w:rsidR="00DB0DCB">
        <w:t xml:space="preserve">fossil energy </w:t>
      </w:r>
      <w:r w:rsidR="009F231E">
        <w:t xml:space="preserve">trade. </w:t>
      </w:r>
      <w:r>
        <w:t>The pathways for imports and exports of oil, gas</w:t>
      </w:r>
      <w:r w:rsidR="00DB0DCB">
        <w:t xml:space="preserve"> and coal are</w:t>
      </w:r>
      <w:r w:rsidR="00EF5AFA">
        <w:t xml:space="preserve"> shown in Figure S8</w:t>
      </w:r>
      <w:r>
        <w:t xml:space="preserve">. </w:t>
      </w:r>
    </w:p>
    <w:p w:rsidR="0031130E" w:rsidRPr="0031130E" w:rsidRDefault="004965E5" w:rsidP="00C54F0A">
      <w:pPr>
        <w:jc w:val="center"/>
      </w:pPr>
      <w:r>
        <w:rPr>
          <w:noProof/>
        </w:rPr>
        <w:drawing>
          <wp:inline distT="0" distB="0" distL="0" distR="0">
            <wp:extent cx="1911600" cy="1432800"/>
            <wp:effectExtent l="0" t="0" r="0" b="0"/>
            <wp:docPr id="26" name="Picture 26" descr="D:\texte\1107_fossils\data1208\figs\SItrade_REMIND_ROFE111_Crude 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texte\1107_fossils\data1208\figs\SItrade_REMIND_ROFE111_Crude Oil.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r w:rsidRPr="004965E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extent cx="1911600" cy="1432800"/>
            <wp:effectExtent l="0" t="0" r="0" b="0"/>
            <wp:docPr id="27" name="Picture 27" descr="D:\texte\1107_fossils\data1208\figs\SItrade_REMIND_ROFE111_Natural 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texte\1107_fossils\data1208\figs\SItrade_REMIND_ROFE111_Natural Gas.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r w:rsidRPr="004965E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911600" cy="1432800"/>
            <wp:effectExtent l="0" t="0" r="0" b="0"/>
            <wp:docPr id="28" name="Picture 28" descr="D:\texte\1107_fossils\data1208\figs\SItrade_REMIND_ROFE111_C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texte\1107_fossils\data1208\figs\SItrade_REMIND_ROFE111_Coal.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p>
    <w:p w:rsidR="004C0EE7" w:rsidRPr="0037230F" w:rsidRDefault="000919F2" w:rsidP="000919F2">
      <w:pPr>
        <w:rPr>
          <w:b/>
          <w:bCs/>
        </w:rPr>
      </w:pPr>
      <w:r w:rsidRPr="00EF5AFA">
        <w:rPr>
          <w:rStyle w:val="Strong"/>
        </w:rPr>
        <w:t>Figure S</w:t>
      </w:r>
      <w:r w:rsidR="00EF5AFA">
        <w:rPr>
          <w:rStyle w:val="Strong"/>
        </w:rPr>
        <w:t>8</w:t>
      </w:r>
      <w:r w:rsidRPr="00EF5AFA">
        <w:rPr>
          <w:rStyle w:val="Strong"/>
        </w:rPr>
        <w:t>:</w:t>
      </w:r>
      <w:r w:rsidRPr="00C02FD9">
        <w:rPr>
          <w:rStyle w:val="Strong"/>
        </w:rPr>
        <w:t xml:space="preserve"> </w:t>
      </w:r>
      <w:r w:rsidR="00C02FD9" w:rsidRPr="00C02FD9">
        <w:rPr>
          <w:rStyle w:val="Strong"/>
        </w:rPr>
        <w:t xml:space="preserve"> Global trade of oil</w:t>
      </w:r>
      <w:r w:rsidR="004965E5">
        <w:rPr>
          <w:rStyle w:val="Strong"/>
        </w:rPr>
        <w:t>, gas and coal</w:t>
      </w:r>
      <w:r w:rsidRPr="00C02FD9">
        <w:rPr>
          <w:rStyle w:val="Strong"/>
        </w:rPr>
        <w:t>.</w:t>
      </w:r>
      <w:r w:rsidR="00C02FD9" w:rsidRPr="00C02FD9">
        <w:rPr>
          <w:rStyle w:val="Strong"/>
        </w:rPr>
        <w:t xml:space="preserve"> The vertical dashed line separates historical data and the scenario pathway. Historical data is taken from IEA (2007).</w:t>
      </w:r>
    </w:p>
    <w:p w:rsidR="00DB0DCB" w:rsidRPr="004965E5" w:rsidRDefault="00DB0DCB" w:rsidP="00DB0DCB">
      <w:r>
        <w:t>On the import side</w:t>
      </w:r>
      <w:r w:rsidR="0042383F">
        <w:t>,</w:t>
      </w:r>
      <w:r>
        <w:t xml:space="preserve"> growing demand from developing countries is the major driver, whereas the demand from developed regions is reduced</w:t>
      </w:r>
      <w:r w:rsidR="0042383F">
        <w:t>;</w:t>
      </w:r>
      <w:r w:rsidR="00F006CF">
        <w:t xml:space="preserve"> </w:t>
      </w:r>
      <w:r w:rsidR="0042383F">
        <w:t>t</w:t>
      </w:r>
      <w:r>
        <w:t xml:space="preserve">his </w:t>
      </w:r>
      <w:r w:rsidR="0042383F">
        <w:t>represents a</w:t>
      </w:r>
      <w:r>
        <w:t xml:space="preserve"> major shift </w:t>
      </w:r>
      <w:r w:rsidR="0042383F">
        <w:t>in</w:t>
      </w:r>
      <w:r>
        <w:t xml:space="preserve"> global fossil fuel markets. The main exporters of oil and gas are the MEA region and Russia. </w:t>
      </w:r>
      <w:r w:rsidR="0042383F">
        <w:t>G</w:t>
      </w:r>
      <w:r>
        <w:t xml:space="preserve">rowth in natural gas markets is strong compared with historical experience and will require large investments in infrastructure and political willingness to integrate the markets. The international coal market in the reference pathway grows enormously thanks to the supplies from Russia, the US and Rest of the World including Canada, Australia and South Africa. </w:t>
      </w:r>
    </w:p>
    <w:p w:rsidR="00A55ABB" w:rsidRDefault="00A55ABB">
      <w:pPr>
        <w:rPr>
          <w:rFonts w:asciiTheme="majorHAnsi" w:eastAsiaTheme="majorEastAsia" w:hAnsiTheme="majorHAnsi" w:cstheme="majorBidi"/>
          <w:b/>
          <w:bCs/>
          <w:i/>
          <w:iCs/>
          <w:color w:val="4F81BD" w:themeColor="accent1"/>
        </w:rPr>
      </w:pPr>
      <w:r>
        <w:br w:type="page"/>
      </w:r>
    </w:p>
    <w:p w:rsidR="00042DE4" w:rsidRDefault="00042DE4" w:rsidP="009769FC">
      <w:pPr>
        <w:pStyle w:val="Heading2"/>
      </w:pPr>
      <w:r>
        <w:lastRenderedPageBreak/>
        <w:t>Baseline Variation</w:t>
      </w:r>
      <w:r w:rsidR="004937FD">
        <w:t>s</w:t>
      </w:r>
    </w:p>
    <w:p w:rsidR="00042DE4" w:rsidRDefault="00042DE4" w:rsidP="009769FC">
      <w:pPr>
        <w:pStyle w:val="Heading3"/>
      </w:pPr>
      <w:r>
        <w:t>Fossil Fuel Use</w:t>
      </w:r>
      <w:r w:rsidR="00BA1D04">
        <w:t xml:space="preserve"> and CO</w:t>
      </w:r>
      <w:r w:rsidR="00BA1D04">
        <w:rPr>
          <w:vertAlign w:val="subscript"/>
        </w:rPr>
        <w:t>2</w:t>
      </w:r>
      <w:r>
        <w:t xml:space="preserve"> Emissions</w:t>
      </w:r>
    </w:p>
    <w:p w:rsidR="00555096" w:rsidRPr="00BA1D04" w:rsidRDefault="00BA1D04" w:rsidP="00BA1D04">
      <w:r>
        <w:t xml:space="preserve"> </w:t>
      </w:r>
      <w:r w:rsidR="00DC1DB9">
        <w:t xml:space="preserve">We have analyzed </w:t>
      </w:r>
      <w:r>
        <w:t>the sensitivity of cumulative fossil fuel use and CO</w:t>
      </w:r>
      <w:r w:rsidRPr="00BA1D04">
        <w:rPr>
          <w:vertAlign w:val="subscript"/>
        </w:rPr>
        <w:t>2</w:t>
      </w:r>
      <w:r>
        <w:t xml:space="preserve"> emissions with respect to baseline assumptions</w:t>
      </w:r>
      <w:r w:rsidR="00DC1DB9">
        <w:t xml:space="preserve"> in the main text</w:t>
      </w:r>
      <w:r>
        <w:t>. Here we present the pathways of these key variables at the global level. Figure S9 shows the time path of global oil, gas and coal use as well as the resulting CO</w:t>
      </w:r>
      <w:r w:rsidRPr="00BA1D04">
        <w:rPr>
          <w:vertAlign w:val="subscript"/>
        </w:rPr>
        <w:t>2</w:t>
      </w:r>
      <w:r>
        <w:t xml:space="preserve"> emissions.</w:t>
      </w:r>
    </w:p>
    <w:p w:rsidR="00042DE4" w:rsidRDefault="00102EB4" w:rsidP="00042DE4">
      <w:r>
        <w:rPr>
          <w:noProof/>
        </w:rPr>
        <w:drawing>
          <wp:inline distT="0" distB="0" distL="0" distR="0">
            <wp:extent cx="2880000" cy="2160625"/>
            <wp:effectExtent l="0" t="0" r="0" b="0"/>
            <wp:docPr id="8" name="Picture 8" descr="D:\texte\1107_fossils\data1307\figs\RCPcmp_REMIND_Oil Use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1107_fossils\data1307\figs\RCPcmp_REMIND_Oil Use_World.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80000" cy="2160625"/>
                    </a:xfrm>
                    <a:prstGeom prst="rect">
                      <a:avLst/>
                    </a:prstGeom>
                    <a:noFill/>
                    <a:ln>
                      <a:noFill/>
                    </a:ln>
                  </pic:spPr>
                </pic:pic>
              </a:graphicData>
            </a:graphic>
          </wp:inline>
        </w:drawing>
      </w:r>
      <w:r>
        <w:rPr>
          <w:noProof/>
        </w:rPr>
        <w:drawing>
          <wp:inline distT="0" distB="0" distL="0" distR="0">
            <wp:extent cx="2880000" cy="2160625"/>
            <wp:effectExtent l="0" t="0" r="0" b="0"/>
            <wp:docPr id="10" name="Picture 10" descr="D:\texte\1107_fossils\data1307\figs\RCPcmp_REMIND_Gas Use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xte\1107_fossils\data1307\figs\RCPcmp_REMIND_Gas Use_World.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80000" cy="2160625"/>
                    </a:xfrm>
                    <a:prstGeom prst="rect">
                      <a:avLst/>
                    </a:prstGeom>
                    <a:noFill/>
                    <a:ln>
                      <a:noFill/>
                    </a:ln>
                  </pic:spPr>
                </pic:pic>
              </a:graphicData>
            </a:graphic>
          </wp:inline>
        </w:drawing>
      </w:r>
      <w:r>
        <w:rPr>
          <w:noProof/>
        </w:rPr>
        <w:drawing>
          <wp:inline distT="0" distB="0" distL="0" distR="0">
            <wp:extent cx="2880000" cy="2160625"/>
            <wp:effectExtent l="0" t="0" r="0" b="0"/>
            <wp:docPr id="34" name="Picture 34" descr="D:\texte\1107_fossils\data1307\figs\RCPcmp_REMIND_Coal Use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xte\1107_fossils\data1307\figs\RCPcmp_REMIND_Coal Use_World.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80000" cy="2160625"/>
                    </a:xfrm>
                    <a:prstGeom prst="rect">
                      <a:avLst/>
                    </a:prstGeom>
                    <a:noFill/>
                    <a:ln>
                      <a:noFill/>
                    </a:ln>
                  </pic:spPr>
                </pic:pic>
              </a:graphicData>
            </a:graphic>
          </wp:inline>
        </w:drawing>
      </w:r>
      <w:r>
        <w:rPr>
          <w:noProof/>
        </w:rPr>
        <w:drawing>
          <wp:inline distT="0" distB="0" distL="0" distR="0">
            <wp:extent cx="2880000" cy="2160625"/>
            <wp:effectExtent l="0" t="0" r="0" b="0"/>
            <wp:docPr id="35" name="Picture 35" descr="D:\texte\1107_fossils\data1307\figs\RCPcmp_REMIND_CO_2 Emissions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xte\1107_fossils\data1307\figs\RCPcmp_REMIND_CO_2 Emissions_World.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80000" cy="2160625"/>
                    </a:xfrm>
                    <a:prstGeom prst="rect">
                      <a:avLst/>
                    </a:prstGeom>
                    <a:noFill/>
                    <a:ln>
                      <a:noFill/>
                    </a:ln>
                  </pic:spPr>
                </pic:pic>
              </a:graphicData>
            </a:graphic>
          </wp:inline>
        </w:drawing>
      </w:r>
    </w:p>
    <w:p w:rsidR="00555096" w:rsidRPr="00622295" w:rsidRDefault="00641AD4" w:rsidP="00042DE4">
      <w:pPr>
        <w:rPr>
          <w:b/>
        </w:rPr>
      </w:pPr>
      <w:r w:rsidRPr="00622295">
        <w:rPr>
          <w:b/>
        </w:rPr>
        <w:t>F</w:t>
      </w:r>
      <w:r w:rsidR="00622295" w:rsidRPr="00622295">
        <w:rPr>
          <w:b/>
        </w:rPr>
        <w:t>igure S</w:t>
      </w:r>
      <w:r w:rsidRPr="00622295">
        <w:rPr>
          <w:b/>
        </w:rPr>
        <w:t>9</w:t>
      </w:r>
      <w:r w:rsidR="00555096" w:rsidRPr="00622295">
        <w:rPr>
          <w:b/>
        </w:rPr>
        <w:t>: Global use of oil, gas and coal and global CO</w:t>
      </w:r>
      <w:r w:rsidR="00555096" w:rsidRPr="00622295">
        <w:rPr>
          <w:b/>
          <w:vertAlign w:val="subscript"/>
        </w:rPr>
        <w:t>2</w:t>
      </w:r>
      <w:r w:rsidR="00555096" w:rsidRPr="00622295">
        <w:rPr>
          <w:b/>
        </w:rPr>
        <w:t xml:space="preserve"> emissions from industry and fossil fuel combustion 2005-2100.</w:t>
      </w:r>
    </w:p>
    <w:p w:rsidR="00042DE4" w:rsidRDefault="00515E03" w:rsidP="00042DE4">
      <w:r>
        <w:t xml:space="preserve">Three main findings follow from the analysis. The assumptions of economic growth change the time path of fossil fuel utilization only after 2030. Second, the assumptions of fossil fuel availability have an impact on the near term use of oil and coal, but not for gas. </w:t>
      </w:r>
      <w:r w:rsidR="00555096">
        <w:t xml:space="preserve"> </w:t>
      </w:r>
      <w:r w:rsidR="00B063FF">
        <w:t>The main reason is that assumptions of the gas supply curve only start to deviate for cumulative use larger than 10ZJ. The assumptions in the case of oil start to deviate at significantly smaller cumulative amounts.</w:t>
      </w:r>
      <w:r w:rsidR="001F30F9">
        <w:t xml:space="preserve"> Since </w:t>
      </w:r>
      <w:r w:rsidR="00622295">
        <w:t xml:space="preserve">Figure S9 depicts only cases in which </w:t>
      </w:r>
      <w:r w:rsidR="001F30F9">
        <w:t xml:space="preserve">the availability of all fossil fuels is simultaneously varied, </w:t>
      </w:r>
      <w:r w:rsidR="00622295">
        <w:t>the following</w:t>
      </w:r>
      <w:r w:rsidR="001F30F9">
        <w:t xml:space="preserve"> should be added: if only gas availability is changed</w:t>
      </w:r>
      <w:r w:rsidR="0042383F">
        <w:t>,</w:t>
      </w:r>
      <w:r w:rsidR="00622295">
        <w:t xml:space="preserve"> as in the High Gas scenario</w:t>
      </w:r>
      <w:r w:rsidR="001F30F9">
        <w:t>, the use of gas also increases in the near term</w:t>
      </w:r>
      <w:r w:rsidR="00AB046C">
        <w:t xml:space="preserve"> and </w:t>
      </w:r>
      <w:r w:rsidR="0042383F">
        <w:t xml:space="preserve">is </w:t>
      </w:r>
      <w:r w:rsidR="00AB046C">
        <w:t>substitute</w:t>
      </w:r>
      <w:r w:rsidR="0042383F">
        <w:t>d</w:t>
      </w:r>
      <w:r w:rsidR="00AB046C">
        <w:t xml:space="preserve"> </w:t>
      </w:r>
      <w:r w:rsidR="0042383F">
        <w:t xml:space="preserve">for </w:t>
      </w:r>
      <w:r w:rsidR="00AB046C">
        <w:t>coal</w:t>
      </w:r>
      <w:r w:rsidR="001F30F9">
        <w:t xml:space="preserve">. </w:t>
      </w:r>
      <w:r w:rsidR="00301DA6">
        <w:t xml:space="preserve">Finally, in case of low fossil fuel availability, coal </w:t>
      </w:r>
      <w:r w:rsidR="0042383F">
        <w:t xml:space="preserve">consumption </w:t>
      </w:r>
      <w:r w:rsidR="00301DA6">
        <w:t xml:space="preserve">stagnates until 2040 and increases significantly thereafter </w:t>
      </w:r>
      <w:r w:rsidR="00DF050A">
        <w:t>to substitute oil for liquid fuel production.</w:t>
      </w:r>
    </w:p>
    <w:p w:rsidR="00777164" w:rsidRDefault="00777164" w:rsidP="00042DE4"/>
    <w:p w:rsidR="00182B4E" w:rsidRDefault="00182B4E" w:rsidP="009769FC">
      <w:pPr>
        <w:pStyle w:val="Heading3"/>
      </w:pPr>
      <w:r>
        <w:t>Fossil fuel prices</w:t>
      </w:r>
    </w:p>
    <w:p w:rsidR="00D028FD" w:rsidRDefault="00D028FD" w:rsidP="00D028FD">
      <w:r>
        <w:t xml:space="preserve">In the main text only </w:t>
      </w:r>
      <w:r w:rsidR="00D53F8C">
        <w:t xml:space="preserve">the sensitivity of the oil </w:t>
      </w:r>
      <w:r>
        <w:t>price was shown</w:t>
      </w:r>
      <w:r w:rsidR="00D53F8C">
        <w:t xml:space="preserve"> (Figure 5). Figure S10</w:t>
      </w:r>
      <w:r>
        <w:t xml:space="preserve"> also shows the prices of gas and coal.</w:t>
      </w:r>
    </w:p>
    <w:p w:rsidR="00777164" w:rsidRDefault="00777164" w:rsidP="00D028FD">
      <w:r>
        <w:rPr>
          <w:noProof/>
        </w:rPr>
        <w:drawing>
          <wp:inline distT="0" distB="0" distL="0" distR="0" wp14:anchorId="2DEF46F3" wp14:editId="4F81B0B1">
            <wp:extent cx="2937600" cy="2203200"/>
            <wp:effectExtent l="0" t="0" r="0" b="6985"/>
            <wp:docPr id="24" name="Picture 24" descr="D:\texte\1107_fossils\data1208\figs\REMIND_Gas Price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exte\1107_fossils\data1208\figs\REMIND_Gas Price_World.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37600" cy="2203200"/>
                    </a:xfrm>
                    <a:prstGeom prst="rect">
                      <a:avLst/>
                    </a:prstGeom>
                    <a:noFill/>
                    <a:ln>
                      <a:noFill/>
                    </a:ln>
                  </pic:spPr>
                </pic:pic>
              </a:graphicData>
            </a:graphic>
          </wp:inline>
        </w:drawing>
      </w:r>
      <w:r>
        <w:rPr>
          <w:noProof/>
        </w:rPr>
        <w:drawing>
          <wp:inline distT="0" distB="0" distL="0" distR="0" wp14:anchorId="4610031A" wp14:editId="6F53CA25">
            <wp:extent cx="2937600" cy="2203200"/>
            <wp:effectExtent l="0" t="0" r="0" b="6985"/>
            <wp:docPr id="29" name="Picture 29" descr="D:\texte\1107_fossils\data1208\figs\REMIND_Coal Price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texte\1107_fossils\data1208\figs\REMIND_Coal Price_World.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37600" cy="2203200"/>
                    </a:xfrm>
                    <a:prstGeom prst="rect">
                      <a:avLst/>
                    </a:prstGeom>
                    <a:noFill/>
                    <a:ln>
                      <a:noFill/>
                    </a:ln>
                  </pic:spPr>
                </pic:pic>
              </a:graphicData>
            </a:graphic>
          </wp:inline>
        </w:drawing>
      </w:r>
    </w:p>
    <w:p w:rsidR="007548F6" w:rsidRPr="00D956A1" w:rsidRDefault="00D53F8C" w:rsidP="00D028FD">
      <w:pPr>
        <w:rPr>
          <w:b/>
        </w:rPr>
      </w:pPr>
      <w:r w:rsidRPr="00D956A1">
        <w:rPr>
          <w:b/>
        </w:rPr>
        <w:t>Figure S10</w:t>
      </w:r>
      <w:r w:rsidR="007548F6" w:rsidRPr="00D956A1">
        <w:rPr>
          <w:b/>
        </w:rPr>
        <w:t>:</w:t>
      </w:r>
      <w:r w:rsidR="00B40030" w:rsidRPr="00D956A1">
        <w:rPr>
          <w:b/>
        </w:rPr>
        <w:t xml:space="preserve"> </w:t>
      </w:r>
      <w:r w:rsidR="00B40030" w:rsidRPr="00D956A1">
        <w:rPr>
          <w:rFonts w:ascii="Calibri" w:hAnsi="Calibri" w:cs="Calibri"/>
          <w:b/>
        </w:rPr>
        <w:t xml:space="preserve">Global average gas and coal price for the baseline scenarios (2010-2100). </w:t>
      </w:r>
    </w:p>
    <w:p w:rsidR="002C3653" w:rsidRDefault="00777164" w:rsidP="00D028FD">
      <w:r>
        <w:t xml:space="preserve">The </w:t>
      </w:r>
      <w:r w:rsidR="002C3653">
        <w:t>sensitivity with respect to economic growth assumptions of</w:t>
      </w:r>
      <w:r>
        <w:t xml:space="preserve"> gas and coal</w:t>
      </w:r>
      <w:r w:rsidR="002C3653">
        <w:t xml:space="preserve"> prices is generally t</w:t>
      </w:r>
      <w:r w:rsidR="00B82818">
        <w:t>he same</w:t>
      </w:r>
      <w:r w:rsidR="002C3653">
        <w:t xml:space="preserve"> </w:t>
      </w:r>
      <w:r w:rsidR="00DC1DB9">
        <w:t xml:space="preserve">as </w:t>
      </w:r>
      <w:r w:rsidR="002C3653">
        <w:t xml:space="preserve">for oil prices. Also, the variations of fossil fuel availability have </w:t>
      </w:r>
      <w:r w:rsidR="00F61683">
        <w:t xml:space="preserve">a </w:t>
      </w:r>
      <w:r w:rsidR="002C3653">
        <w:t xml:space="preserve">larger impact. The increase of coal prices in the case of low fossil </w:t>
      </w:r>
      <w:r w:rsidR="00F61683">
        <w:t xml:space="preserve">fuel availability </w:t>
      </w:r>
      <w:proofErr w:type="gramStart"/>
      <w:r w:rsidR="002C3653">
        <w:t>is  most</w:t>
      </w:r>
      <w:proofErr w:type="gramEnd"/>
      <w:r w:rsidR="002C3653">
        <w:t xml:space="preserve"> notable.</w:t>
      </w:r>
    </w:p>
    <w:p w:rsidR="007548F6" w:rsidRDefault="002C3653" w:rsidP="009769FC">
      <w:pPr>
        <w:pStyle w:val="Heading3"/>
      </w:pPr>
      <w:r>
        <w:t xml:space="preserve">The analysis of the </w:t>
      </w:r>
      <w:r w:rsidR="007548F6">
        <w:t>cumulative extraction and price</w:t>
      </w:r>
    </w:p>
    <w:p w:rsidR="00581C41" w:rsidRDefault="002C3653" w:rsidP="007548F6">
      <w:r>
        <w:t xml:space="preserve"> </w:t>
      </w:r>
      <w:r w:rsidR="007548F6">
        <w:t>Figure S</w:t>
      </w:r>
      <w:r w:rsidR="00071332">
        <w:t>11</w:t>
      </w:r>
      <w:r w:rsidR="007548F6">
        <w:t xml:space="preserve"> shows the global average market prices </w:t>
      </w:r>
      <w:r w:rsidR="00B82818">
        <w:t>as a function of</w:t>
      </w:r>
      <w:r w:rsidR="0079516C">
        <w:t xml:space="preserve"> </w:t>
      </w:r>
      <w:r w:rsidR="007548F6">
        <w:t xml:space="preserve">global cumulative extraction. </w:t>
      </w:r>
      <w:r w:rsidR="00D75998">
        <w:t xml:space="preserve">The graph also </w:t>
      </w:r>
      <w:r w:rsidR="0079516C">
        <w:t xml:space="preserve">implicitly </w:t>
      </w:r>
      <w:r w:rsidR="00D75998">
        <w:t xml:space="preserve">shows the time dimension, since all curves start in the lower left corner and show the development as cumulative extraction changes over time. </w:t>
      </w:r>
    </w:p>
    <w:p w:rsidR="00EE1C65" w:rsidRDefault="00EE1C65" w:rsidP="007548F6">
      <w:r>
        <w:rPr>
          <w:noProof/>
        </w:rPr>
        <w:drawing>
          <wp:inline distT="0" distB="0" distL="0" distR="0">
            <wp:extent cx="1911600" cy="1432800"/>
            <wp:effectExtent l="0" t="0" r="0" b="0"/>
            <wp:docPr id="39" name="Picture 39" descr="D:\texte\1107_fossils\data1208\figs\PQ_REMIND_Oil Price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texte\1107_fossils\data1208\figs\PQ_REMIND_Oil Price_World.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r w:rsidRPr="00EE1C6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extent cx="1911600" cy="1432800"/>
            <wp:effectExtent l="0" t="0" r="0" b="0"/>
            <wp:docPr id="40" name="Picture 40" descr="D:\texte\1107_fossils\data1208\figs\PQ_REMIND_Gas Price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texte\1107_fossils\data1208\figs\PQ_REMIND_Gas Price_World.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r w:rsidRPr="00EE1C6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911600" cy="1432800"/>
            <wp:effectExtent l="0" t="0" r="0" b="0"/>
            <wp:docPr id="41" name="Picture 41" descr="D:\texte\1107_fossils\data1208\figs\PQ_REMIND_Coal Price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texte\1107_fossils\data1208\figs\PQ_REMIND_Coal Price_World.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p>
    <w:p w:rsidR="00EE1C65" w:rsidRPr="00F6424C" w:rsidRDefault="008647BE" w:rsidP="007548F6">
      <w:pPr>
        <w:rPr>
          <w:b/>
        </w:rPr>
      </w:pPr>
      <w:r>
        <w:rPr>
          <w:b/>
        </w:rPr>
        <w:t>Figure S</w:t>
      </w:r>
      <w:r w:rsidR="00B40030" w:rsidRPr="00F6424C">
        <w:rPr>
          <w:b/>
        </w:rPr>
        <w:t>11</w:t>
      </w:r>
      <w:r w:rsidR="00EE1C65" w:rsidRPr="00F6424C">
        <w:rPr>
          <w:b/>
        </w:rPr>
        <w:t xml:space="preserve">: </w:t>
      </w:r>
      <w:r w:rsidR="00F6424C" w:rsidRPr="00F6424C">
        <w:rPr>
          <w:b/>
        </w:rPr>
        <w:t xml:space="preserve">Global average fossil fuel prices depending on cumulative extraction for different baselines. Note that in the cases with High and Slow growth the </w:t>
      </w:r>
      <w:r w:rsidR="00071332">
        <w:rPr>
          <w:b/>
        </w:rPr>
        <w:t xml:space="preserve">assumptions on </w:t>
      </w:r>
      <w:r w:rsidR="00F6424C" w:rsidRPr="00F6424C">
        <w:rPr>
          <w:b/>
        </w:rPr>
        <w:t>extraction cost are the same like in the default case.</w:t>
      </w:r>
    </w:p>
    <w:p w:rsidR="00777164" w:rsidRDefault="00581C41" w:rsidP="007548F6">
      <w:r>
        <w:t xml:space="preserve">Two findings are </w:t>
      </w:r>
      <w:r w:rsidR="004C33FF">
        <w:t>noteworthy</w:t>
      </w:r>
      <w:r>
        <w:t>. First,</w:t>
      </w:r>
      <w:r w:rsidR="00D75998">
        <w:t xml:space="preserve"> </w:t>
      </w:r>
      <w:r w:rsidR="004C33FF">
        <w:t xml:space="preserve">the variation of </w:t>
      </w:r>
      <w:r w:rsidR="00D75998">
        <w:t>GDP growth assumptions ha</w:t>
      </w:r>
      <w:r w:rsidR="008647BE">
        <w:t>s</w:t>
      </w:r>
      <w:r w:rsidR="00D75998">
        <w:t xml:space="preserve"> only a small impact on the slope of the curve</w:t>
      </w:r>
      <w:r>
        <w:t xml:space="preserve">. For the same cumulative extraction the price differences are only small. </w:t>
      </w:r>
      <w:r w:rsidR="004C33FF">
        <w:t>Nevertheless,</w:t>
      </w:r>
      <w:r w:rsidR="00071332">
        <w:t xml:space="preserve"> there is a price effect</w:t>
      </w:r>
      <w:r w:rsidR="004C33FF">
        <w:t xml:space="preserve"> despite the assumption of identical long term extraction cost curves</w:t>
      </w:r>
      <w:r w:rsidR="00071332">
        <w:t xml:space="preserve">. </w:t>
      </w:r>
      <w:r w:rsidR="004C33FF">
        <w:t xml:space="preserve"> </w:t>
      </w:r>
      <w:r w:rsidR="00485794">
        <w:lastRenderedPageBreak/>
        <w:t>Second, the impact of varying fossil fuel availability is larger. For the same cumulative extraction the prices vary significantly</w:t>
      </w:r>
      <w:r w:rsidR="004C33FF">
        <w:t xml:space="preserve"> reflecting the differences in the long term extraction cost curves</w:t>
      </w:r>
      <w:r w:rsidR="00485794">
        <w:t xml:space="preserve">. </w:t>
      </w:r>
    </w:p>
    <w:p w:rsidR="004937FD" w:rsidRPr="00B82818" w:rsidRDefault="004937FD" w:rsidP="009769FC">
      <w:pPr>
        <w:pStyle w:val="Heading3"/>
        <w:rPr>
          <w:sz w:val="26"/>
          <w:szCs w:val="26"/>
        </w:rPr>
      </w:pPr>
      <w:r>
        <w:rPr>
          <w:sz w:val="26"/>
          <w:szCs w:val="26"/>
        </w:rPr>
        <w:t>Policy Scenarios</w:t>
      </w:r>
    </w:p>
    <w:p w:rsidR="00B70199" w:rsidRDefault="00B70199" w:rsidP="009769FC">
      <w:pPr>
        <w:pStyle w:val="Heading3"/>
      </w:pPr>
      <w:r>
        <w:t>Carbon prices to achieve climate change stabilization</w:t>
      </w:r>
    </w:p>
    <w:p w:rsidR="00B70199" w:rsidRDefault="00EC4211" w:rsidP="00B70199">
      <w:r>
        <w:t>Figure S</w:t>
      </w:r>
      <w:r w:rsidR="00B70199">
        <w:t xml:space="preserve">12 shows the carbon prices under the two long-term climate change stabilization policies. </w:t>
      </w:r>
      <w:r w:rsidR="00624BB0">
        <w:t>All price trajectories increase. For the initial decades the increase is roughly exponential. For the 450 scenarios the prices start at significantly higher levels. Also in the near term fossil fuel availability has a stronger effect on carbon prices. In the longer term the energy demand growth becomes more important.</w:t>
      </w:r>
    </w:p>
    <w:p w:rsidR="00624BB0" w:rsidRDefault="00624BB0" w:rsidP="00624BB0">
      <w:pPr>
        <w:jc w:val="center"/>
      </w:pPr>
      <w:r>
        <w:rPr>
          <w:noProof/>
        </w:rPr>
        <w:drawing>
          <wp:inline distT="0" distB="0" distL="0" distR="0">
            <wp:extent cx="2880000" cy="2160874"/>
            <wp:effectExtent l="0" t="0" r="0" b="0"/>
            <wp:docPr id="33" name="Picture 33" descr="D:\texte\1107_fossils\data1306\figs\RCPcmp_REMIND_CO_2 permits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exte\1107_fossils\data1306\figs\RCPcmp_REMIND_CO_2 permits_World.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80000" cy="2160874"/>
                    </a:xfrm>
                    <a:prstGeom prst="rect">
                      <a:avLst/>
                    </a:prstGeom>
                    <a:noFill/>
                    <a:ln>
                      <a:noFill/>
                    </a:ln>
                  </pic:spPr>
                </pic:pic>
              </a:graphicData>
            </a:graphic>
          </wp:inline>
        </w:drawing>
      </w:r>
    </w:p>
    <w:p w:rsidR="00624BB0" w:rsidRPr="00624BB0" w:rsidRDefault="00624BB0" w:rsidP="00B70199">
      <w:pPr>
        <w:rPr>
          <w:b/>
        </w:rPr>
      </w:pPr>
      <w:r w:rsidRPr="00624BB0">
        <w:rPr>
          <w:b/>
        </w:rPr>
        <w:t>Figure S12: Carbon prices for various stabilization scenarios. The in</w:t>
      </w:r>
      <w:r w:rsidR="004937FD">
        <w:rPr>
          <w:b/>
        </w:rPr>
        <w:t>set</w:t>
      </w:r>
      <w:r w:rsidRPr="00624BB0">
        <w:rPr>
          <w:b/>
        </w:rPr>
        <w:t xml:space="preserve"> shows the carbon price for the period 2015-2040.</w:t>
      </w:r>
    </w:p>
    <w:p w:rsidR="008647BE" w:rsidRDefault="008647BE">
      <w:pPr>
        <w:rPr>
          <w:rFonts w:asciiTheme="majorHAnsi" w:eastAsiaTheme="majorEastAsia" w:hAnsiTheme="majorHAnsi" w:cstheme="majorBidi"/>
          <w:b/>
          <w:bCs/>
          <w:color w:val="4F81BD" w:themeColor="accent1"/>
        </w:rPr>
      </w:pPr>
      <w:r>
        <w:br w:type="page"/>
      </w:r>
    </w:p>
    <w:p w:rsidR="00B047A4" w:rsidRDefault="00B047A4" w:rsidP="009769FC">
      <w:pPr>
        <w:pStyle w:val="Heading3"/>
      </w:pPr>
      <w:r>
        <w:lastRenderedPageBreak/>
        <w:t>The impact of climate policies on fossil fuel use and prices</w:t>
      </w:r>
    </w:p>
    <w:p w:rsidR="00B047A4" w:rsidRDefault="00B047A4" w:rsidP="00B047A4">
      <w:r>
        <w:t>Figure S</w:t>
      </w:r>
      <w:r w:rsidR="005651C0">
        <w:t>1</w:t>
      </w:r>
      <w:r w:rsidR="00EE1A18">
        <w:t>3</w:t>
      </w:r>
      <w:r>
        <w:t xml:space="preserve"> shows the impact of climate change mitigation on the cumulative extraction of fossil fuels and </w:t>
      </w:r>
      <w:r w:rsidR="00A33B8B">
        <w:t xml:space="preserve">on </w:t>
      </w:r>
      <w:r>
        <w:t xml:space="preserve">prices. The graph is </w:t>
      </w:r>
      <w:r w:rsidR="005651C0">
        <w:t>of the same type as Figure S12</w:t>
      </w:r>
      <w:r w:rsidR="00A33B8B">
        <w:t>, now</w:t>
      </w:r>
      <w:r>
        <w:t xml:space="preserve"> show</w:t>
      </w:r>
      <w:r w:rsidR="00A33B8B">
        <w:t>ing</w:t>
      </w:r>
      <w:r>
        <w:t xml:space="preserve"> dynamics for the no-policy baseline (BL) and the 550-e scenarios with variations of fossil fuel availability. </w:t>
      </w:r>
    </w:p>
    <w:p w:rsidR="00B047A4" w:rsidRDefault="00E24B74" w:rsidP="00B047A4">
      <w:r>
        <w:rPr>
          <w:noProof/>
        </w:rPr>
        <w:drawing>
          <wp:inline distT="0" distB="0" distL="0" distR="0">
            <wp:extent cx="1911600" cy="1432800"/>
            <wp:effectExtent l="0" t="0" r="0" b="0"/>
            <wp:docPr id="42" name="Picture 42" descr="D:\texte\1107_fossils\data1208\figs\PQ_REMIND_Oil Price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texte\1107_fossils\data1208\figs\PQ_REMIND_Oil Price_World.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r>
        <w:rPr>
          <w:noProof/>
        </w:rPr>
        <w:drawing>
          <wp:inline distT="0" distB="0" distL="0" distR="0">
            <wp:extent cx="1911600" cy="1432800"/>
            <wp:effectExtent l="0" t="0" r="0" b="0"/>
            <wp:docPr id="43" name="Picture 43" descr="D:\texte\1107_fossils\data1208\figs\PQ_REMIND_Gas Price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texte\1107_fossils\data1208\figs\PQ_REMIND_Gas Price_World.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r>
        <w:rPr>
          <w:noProof/>
        </w:rPr>
        <w:drawing>
          <wp:inline distT="0" distB="0" distL="0" distR="0">
            <wp:extent cx="1911600" cy="1432800"/>
            <wp:effectExtent l="0" t="0" r="0" b="0"/>
            <wp:docPr id="44" name="Picture 44" descr="D:\texte\1107_fossils\data1208\figs\PQ_REMIND_Coal Price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texte\1107_fossils\data1208\figs\PQ_REMIND_Coal Price_World.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11600" cy="1432800"/>
                    </a:xfrm>
                    <a:prstGeom prst="rect">
                      <a:avLst/>
                    </a:prstGeom>
                    <a:noFill/>
                    <a:ln>
                      <a:noFill/>
                    </a:ln>
                  </pic:spPr>
                </pic:pic>
              </a:graphicData>
            </a:graphic>
          </wp:inline>
        </w:drawing>
      </w:r>
    </w:p>
    <w:p w:rsidR="00E24B74" w:rsidRDefault="00E24B74" w:rsidP="00B047A4">
      <w:r w:rsidRPr="00071332">
        <w:rPr>
          <w:b/>
        </w:rPr>
        <w:t>Figure S</w:t>
      </w:r>
      <w:r w:rsidR="00071332" w:rsidRPr="00071332">
        <w:rPr>
          <w:b/>
        </w:rPr>
        <w:t>1</w:t>
      </w:r>
      <w:r w:rsidR="00EE1A18">
        <w:rPr>
          <w:b/>
        </w:rPr>
        <w:t>3</w:t>
      </w:r>
      <w:r w:rsidRPr="00071332">
        <w:rPr>
          <w:b/>
        </w:rPr>
        <w:t xml:space="preserve">: </w:t>
      </w:r>
      <w:r w:rsidR="00071332" w:rsidRPr="00F6424C">
        <w:rPr>
          <w:b/>
        </w:rPr>
        <w:t>Global average fossil fuel prices</w:t>
      </w:r>
      <w:r w:rsidR="007F725B">
        <w:rPr>
          <w:b/>
        </w:rPr>
        <w:t xml:space="preserve"> as a function </w:t>
      </w:r>
      <w:proofErr w:type="gramStart"/>
      <w:r w:rsidR="007F725B">
        <w:rPr>
          <w:b/>
        </w:rPr>
        <w:t xml:space="preserve">of </w:t>
      </w:r>
      <w:r w:rsidR="00071332" w:rsidRPr="00F6424C">
        <w:rPr>
          <w:b/>
        </w:rPr>
        <w:t xml:space="preserve"> cumulative</w:t>
      </w:r>
      <w:proofErr w:type="gramEnd"/>
      <w:r w:rsidR="00071332" w:rsidRPr="00F6424C">
        <w:rPr>
          <w:b/>
        </w:rPr>
        <w:t xml:space="preserve"> extraction for different </w:t>
      </w:r>
      <w:r w:rsidR="005651C0">
        <w:rPr>
          <w:b/>
        </w:rPr>
        <w:t xml:space="preserve">Fossil fuel </w:t>
      </w:r>
      <w:r w:rsidR="00071332" w:rsidRPr="00F6424C">
        <w:rPr>
          <w:b/>
        </w:rPr>
        <w:t>baselines</w:t>
      </w:r>
      <w:r w:rsidR="005651C0">
        <w:rPr>
          <w:b/>
        </w:rPr>
        <w:t xml:space="preserve"> and the no-policy cases</w:t>
      </w:r>
      <w:r w:rsidR="00071332" w:rsidRPr="00F6424C">
        <w:rPr>
          <w:b/>
        </w:rPr>
        <w:t xml:space="preserve">. Note that in the cases with </w:t>
      </w:r>
      <w:r w:rsidR="007F725B">
        <w:rPr>
          <w:b/>
        </w:rPr>
        <w:t>h</w:t>
      </w:r>
      <w:r w:rsidR="00071332" w:rsidRPr="00F6424C">
        <w:rPr>
          <w:b/>
        </w:rPr>
        <w:t xml:space="preserve">igh and </w:t>
      </w:r>
      <w:r w:rsidR="007F725B">
        <w:rPr>
          <w:b/>
        </w:rPr>
        <w:t>s</w:t>
      </w:r>
      <w:r w:rsidR="00071332" w:rsidRPr="00F6424C">
        <w:rPr>
          <w:b/>
        </w:rPr>
        <w:t xml:space="preserve">low growth the </w:t>
      </w:r>
      <w:r w:rsidR="00071332">
        <w:rPr>
          <w:b/>
        </w:rPr>
        <w:t xml:space="preserve">assumptions on </w:t>
      </w:r>
      <w:r w:rsidR="00071332" w:rsidRPr="00F6424C">
        <w:rPr>
          <w:b/>
        </w:rPr>
        <w:t xml:space="preserve">extraction cost are the same </w:t>
      </w:r>
      <w:r w:rsidR="007F725B">
        <w:rPr>
          <w:b/>
        </w:rPr>
        <w:t xml:space="preserve">as </w:t>
      </w:r>
      <w:r w:rsidR="00071332" w:rsidRPr="00F6424C">
        <w:rPr>
          <w:b/>
        </w:rPr>
        <w:t>in the default case.</w:t>
      </w:r>
    </w:p>
    <w:p w:rsidR="00777164" w:rsidRDefault="00E24B74" w:rsidP="00777164">
      <w:r>
        <w:t xml:space="preserve">The </w:t>
      </w:r>
      <w:r w:rsidR="004C75A6">
        <w:t xml:space="preserve">different </w:t>
      </w:r>
      <w:r>
        <w:t>ex</w:t>
      </w:r>
      <w:r w:rsidR="00A33B8B">
        <w:t>tents</w:t>
      </w:r>
      <w:r>
        <w:t xml:space="preserve"> </w:t>
      </w:r>
      <w:r w:rsidR="00A33B8B">
        <w:t xml:space="preserve">of cumulative extraction </w:t>
      </w:r>
      <w:proofErr w:type="gramStart"/>
      <w:r w:rsidR="00A33B8B">
        <w:t xml:space="preserve">for </w:t>
      </w:r>
      <w:r>
        <w:t xml:space="preserve"> </w:t>
      </w:r>
      <w:r w:rsidR="004C75A6">
        <w:t>pairs</w:t>
      </w:r>
      <w:proofErr w:type="gramEnd"/>
      <w:r w:rsidR="004C75A6">
        <w:t xml:space="preserve"> of the same colors </w:t>
      </w:r>
      <w:r>
        <w:t xml:space="preserve">show the </w:t>
      </w:r>
      <w:r w:rsidR="004C75A6">
        <w:t xml:space="preserve">effect of climate policies on </w:t>
      </w:r>
      <w:r>
        <w:t xml:space="preserve">fossil fuel use. </w:t>
      </w:r>
      <w:r w:rsidR="004C75A6">
        <w:t xml:space="preserve">The vertical differences along the y-axis show the effect on prices for equal cumulative extraction. </w:t>
      </w:r>
      <w:r>
        <w:t xml:space="preserve">The comparison between the no-policy and the </w:t>
      </w:r>
      <w:r w:rsidR="004C75A6">
        <w:t xml:space="preserve">550-e stabilization </w:t>
      </w:r>
      <w:r>
        <w:t>case</w:t>
      </w:r>
      <w:r w:rsidR="004C75A6">
        <w:t>s</w:t>
      </w:r>
      <w:r>
        <w:t xml:space="preserve"> </w:t>
      </w:r>
      <w:r w:rsidR="00A33B8B">
        <w:t xml:space="preserve">therefore </w:t>
      </w:r>
      <w:r>
        <w:t xml:space="preserve">shows by how much prices </w:t>
      </w:r>
      <w:r w:rsidR="0024542E">
        <w:t xml:space="preserve">(along y-axis) and fossil fuel consumption (along x-axis) </w:t>
      </w:r>
      <w:r>
        <w:t>decrease.</w:t>
      </w:r>
      <w:r w:rsidR="004C75A6">
        <w:t xml:space="preserve"> </w:t>
      </w:r>
    </w:p>
    <w:p w:rsidR="00F40481" w:rsidRDefault="00F40481">
      <w:pPr>
        <w:rPr>
          <w:rFonts w:asciiTheme="majorHAnsi" w:eastAsiaTheme="majorEastAsia" w:hAnsiTheme="majorHAnsi" w:cstheme="majorBidi"/>
          <w:b/>
          <w:bCs/>
          <w:color w:val="4F81BD" w:themeColor="accent1"/>
        </w:rPr>
      </w:pPr>
      <w:r>
        <w:br w:type="page"/>
      </w:r>
    </w:p>
    <w:p w:rsidR="008823FD" w:rsidRDefault="008823FD" w:rsidP="008823FD">
      <w:pPr>
        <w:pStyle w:val="Heading3"/>
      </w:pPr>
      <w:r>
        <w:lastRenderedPageBreak/>
        <w:t>The impact of climate policies on fossil fuel and carbon rent</w:t>
      </w:r>
    </w:p>
    <w:p w:rsidR="008823FD" w:rsidRDefault="008823FD" w:rsidP="008823FD">
      <w:r>
        <w:t>Figure S1</w:t>
      </w:r>
      <w:r w:rsidR="00EE1A18">
        <w:t>4</w:t>
      </w:r>
      <w:r>
        <w:t xml:space="preserve"> shows the redistributive impact of climate policies consistent with the two stabilization scenarios for the default baseline. The figure depicts the changes of fossil fuel and carbon rents at the regional level. It must be taken into account here that the carbon rent results from an initial allocation of carbon emission permits that fully matches the market allocation and thus, no international redistribution is considered. </w:t>
      </w:r>
      <w:r w:rsidR="004C22A9">
        <w:t xml:space="preserve">If those emissions permits were </w:t>
      </w:r>
      <w:proofErr w:type="gramStart"/>
      <w:r w:rsidR="004C22A9">
        <w:t>auctioned,</w:t>
      </w:r>
      <w:proofErr w:type="gramEnd"/>
      <w:r w:rsidR="004C22A9">
        <w:t xml:space="preserve"> or an equivalent carbon tax </w:t>
      </w:r>
      <w:r w:rsidR="004714C6">
        <w:t>were to be</w:t>
      </w:r>
      <w:r w:rsidR="004C22A9">
        <w:t xml:space="preserve"> </w:t>
      </w:r>
      <w:r w:rsidR="004714C6">
        <w:t>imposed,</w:t>
      </w:r>
      <w:r w:rsidR="004C22A9">
        <w:t xml:space="preserve"> the carbon rent would accrue to the governments in the respective regions. </w:t>
      </w:r>
    </w:p>
    <w:p w:rsidR="00F40481" w:rsidRDefault="00F40481" w:rsidP="008823FD">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2952000" cy="2214896"/>
            <wp:effectExtent l="0" t="0" r="1270" b="0"/>
            <wp:docPr id="11" name="Picture 11" descr="D:\texte\1107_fossils\data1306\figs\Fig8SOM_REMIND_    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xte\1107_fossils\data1306\figs\Fig8SOM_REMIND_    550.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52000" cy="2214896"/>
                    </a:xfrm>
                    <a:prstGeom prst="rect">
                      <a:avLst/>
                    </a:prstGeom>
                    <a:noFill/>
                    <a:ln>
                      <a:noFill/>
                    </a:ln>
                  </pic:spPr>
                </pic:pic>
              </a:graphicData>
            </a:graphic>
          </wp:inline>
        </w:drawing>
      </w:r>
      <w:r w:rsidRPr="00F4048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2952000" cy="2214896"/>
            <wp:effectExtent l="0" t="0" r="1270" b="0"/>
            <wp:docPr id="32" name="Picture 32" descr="D:\texte\1107_fossils\data1306\figs\Fig8SOM_REMIND_    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xte\1107_fossils\data1306\figs\Fig8SOM_REMIND_    450.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52000" cy="2214896"/>
                    </a:xfrm>
                    <a:prstGeom prst="rect">
                      <a:avLst/>
                    </a:prstGeom>
                    <a:noFill/>
                    <a:ln>
                      <a:noFill/>
                    </a:ln>
                  </pic:spPr>
                </pic:pic>
              </a:graphicData>
            </a:graphic>
          </wp:inline>
        </w:drawing>
      </w:r>
    </w:p>
    <w:p w:rsidR="00F40481" w:rsidRPr="00B70199" w:rsidRDefault="00F40481" w:rsidP="008823FD">
      <w:pPr>
        <w:rPr>
          <w:b/>
        </w:rPr>
      </w:pPr>
      <w:r w:rsidRPr="00B70199">
        <w:rPr>
          <w:b/>
        </w:rPr>
        <w:t>Figure S1</w:t>
      </w:r>
      <w:r w:rsidR="00EE1A18">
        <w:rPr>
          <w:b/>
        </w:rPr>
        <w:t>4</w:t>
      </w:r>
      <w:r w:rsidRPr="00B70199">
        <w:rPr>
          <w:b/>
        </w:rPr>
        <w:t>: Regional changes in NPVs of fossil fuel and carbon rents for stabilization scenarios compared with the BAU scenario. No international redistribution is considered. The regional carbon rents are fully generated by domestic carbon emissions. The discount rate is 5%.</w:t>
      </w:r>
    </w:p>
    <w:p w:rsidR="008823FD" w:rsidRDefault="008823FD" w:rsidP="008823FD">
      <w:r>
        <w:t>The figures show that for the two stabilization scenarios in most regions the carbon rent over-compensates the loss of fossil fuel rent. This also includes the ME</w:t>
      </w:r>
      <w:r w:rsidR="00B82818">
        <w:t>N</w:t>
      </w:r>
      <w:r>
        <w:t>A region, but a prominent exception is Russia. The main structural difference of these two resource exporting countries is that ME</w:t>
      </w:r>
      <w:r w:rsidR="00B82818">
        <w:t>N</w:t>
      </w:r>
      <w:r>
        <w:t>A’s population is expected to grow, whereas Russia’s population is expected to decrease. This leads to very different patterns of energy demand. Also Ru</w:t>
      </w:r>
      <w:bookmarkStart w:id="0" w:name="_GoBack"/>
      <w:bookmarkEnd w:id="0"/>
      <w:r>
        <w:t xml:space="preserve">ssia is rich in renewable energy supplies and can reduce </w:t>
      </w:r>
      <w:r w:rsidR="008E677B">
        <w:t xml:space="preserve">its greenhouse gas emissions </w:t>
      </w:r>
      <w:r>
        <w:t>more strongly</w:t>
      </w:r>
      <w:r w:rsidR="000E358F">
        <w:t>.</w:t>
      </w:r>
      <w:r w:rsidR="004049D9">
        <w:t xml:space="preserve"> This means </w:t>
      </w:r>
      <w:r>
        <w:t xml:space="preserve">that </w:t>
      </w:r>
      <w:r w:rsidR="008E677B">
        <w:t xml:space="preserve">a greater abatement effort is assigned to </w:t>
      </w:r>
      <w:r w:rsidR="004049D9">
        <w:t>Russia</w:t>
      </w:r>
      <w:r w:rsidR="008E677B">
        <w:t xml:space="preserve"> when distributing emissions allowances </w:t>
      </w:r>
      <w:r w:rsidR="004049D9">
        <w:t>so that initial allocation and market allocation match</w:t>
      </w:r>
      <w:r w:rsidR="008E677B">
        <w:t xml:space="preserve"> (such that no international transfers would occur in a global carbon market). </w:t>
      </w:r>
      <w:r>
        <w:t xml:space="preserve"> </w:t>
      </w:r>
      <w:r w:rsidR="008E677B">
        <w:t xml:space="preserve">Thus, </w:t>
      </w:r>
      <w:r>
        <w:t xml:space="preserve">the result </w:t>
      </w:r>
      <w:r w:rsidR="00995BC5">
        <w:t xml:space="preserve">that </w:t>
      </w:r>
      <w:r w:rsidR="00DA035D">
        <w:t xml:space="preserve">the carbon rent </w:t>
      </w:r>
      <w:r w:rsidR="00995BC5">
        <w:t xml:space="preserve">may </w:t>
      </w:r>
      <w:r w:rsidR="00DA035D">
        <w:t>compensat</w:t>
      </w:r>
      <w:r w:rsidR="00995BC5">
        <w:t>e for missing</w:t>
      </w:r>
      <w:r w:rsidR="00DA035D">
        <w:t xml:space="preserve"> fossil fuel rent</w:t>
      </w:r>
      <w:r>
        <w:t xml:space="preserve"> </w:t>
      </w:r>
      <w:r w:rsidR="00995BC5">
        <w:t xml:space="preserve">under climate policy </w:t>
      </w:r>
      <w:r w:rsidR="00DA035D">
        <w:t xml:space="preserve">at the regional level </w:t>
      </w:r>
      <w:proofErr w:type="gramStart"/>
      <w:r w:rsidR="00995BC5">
        <w:t xml:space="preserve">must </w:t>
      </w:r>
      <w:r>
        <w:t xml:space="preserve"> be</w:t>
      </w:r>
      <w:proofErr w:type="gramEnd"/>
      <w:r>
        <w:t xml:space="preserve"> interpreted with great care.</w:t>
      </w:r>
      <w:r w:rsidR="004049D9">
        <w:t xml:space="preserve"> </w:t>
      </w:r>
      <w:r w:rsidR="00995BC5">
        <w:t>In addition,</w:t>
      </w:r>
      <w:r w:rsidR="004049D9">
        <w:t xml:space="preserve"> the carbon rent cannot compensate for reductions in GDP – and consequently macro-economic consumption – as these are ultimate reductions of the grand total of economic value generated.</w:t>
      </w:r>
      <w:r w:rsidR="008E677B">
        <w:t xml:space="preserve"> </w:t>
      </w:r>
    </w:p>
    <w:p w:rsidR="00B47485" w:rsidRDefault="00B47485" w:rsidP="008823FD">
      <w:pPr>
        <w:rPr>
          <w:b/>
        </w:rPr>
      </w:pPr>
      <w:r w:rsidRPr="00B47485">
        <w:rPr>
          <w:b/>
        </w:rPr>
        <w:t>References</w:t>
      </w:r>
    </w:p>
    <w:p w:rsidR="00B47485" w:rsidRPr="00B47485" w:rsidRDefault="00B47485" w:rsidP="00B47485">
      <w:pPr>
        <w:rPr>
          <w:b/>
        </w:rPr>
      </w:pPr>
      <w:r>
        <w:t xml:space="preserve">Lüken M (2011) Distributive impacts of global climate change mitigation. </w:t>
      </w:r>
      <w:proofErr w:type="gramStart"/>
      <w:r>
        <w:t>PhD thesis, TU Berlin, Faculty VI</w:t>
      </w:r>
      <w:r>
        <w:t>.</w:t>
      </w:r>
      <w:proofErr w:type="gramEnd"/>
    </w:p>
    <w:sectPr w:rsidR="00B47485" w:rsidRPr="00B47485">
      <w:headerReference w:type="default" r:id="rId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B8" w:rsidRDefault="008A5DB8" w:rsidP="00B6741B">
      <w:pPr>
        <w:spacing w:after="0" w:line="240" w:lineRule="auto"/>
      </w:pPr>
      <w:r>
        <w:separator/>
      </w:r>
    </w:p>
  </w:endnote>
  <w:endnote w:type="continuationSeparator" w:id="0">
    <w:p w:rsidR="008A5DB8" w:rsidRDefault="008A5DB8" w:rsidP="00B6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ews Gothic MT OT">
    <w:altName w:val="News Gothic MT 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B8" w:rsidRDefault="008A5DB8" w:rsidP="00B6741B">
      <w:pPr>
        <w:spacing w:after="0" w:line="240" w:lineRule="auto"/>
      </w:pPr>
      <w:r>
        <w:separator/>
      </w:r>
    </w:p>
  </w:footnote>
  <w:footnote w:type="continuationSeparator" w:id="0">
    <w:p w:rsidR="008A5DB8" w:rsidRDefault="008A5DB8" w:rsidP="00B6741B">
      <w:pPr>
        <w:spacing w:after="0" w:line="240" w:lineRule="auto"/>
      </w:pPr>
      <w:r>
        <w:continuationSeparator/>
      </w:r>
    </w:p>
  </w:footnote>
  <w:footnote w:id="1">
    <w:p w:rsidR="004C33FF" w:rsidRPr="00055DB9" w:rsidRDefault="004C33FF" w:rsidP="00B6741B">
      <w:pPr>
        <w:pStyle w:val="FootnoteText"/>
      </w:pPr>
      <w:r>
        <w:rPr>
          <w:rStyle w:val="FootnoteReference"/>
        </w:rPr>
        <w:footnoteRef/>
      </w:r>
      <w:r>
        <w:t xml:space="preserve"> </w:t>
      </w:r>
      <w:proofErr w:type="gramStart"/>
      <w:r>
        <w:t>Corresponding author.</w:t>
      </w:r>
      <w:proofErr w:type="gramEnd"/>
      <w:r>
        <w:t xml:space="preserve"> </w:t>
      </w:r>
      <w:proofErr w:type="gramStart"/>
      <w:r>
        <w:t>Potsdam Institute for Climate Impact Research, PO Box 601203, 14412 Potsdam, Germany.</w:t>
      </w:r>
      <w:proofErr w:type="gramEnd"/>
      <w:r>
        <w:t xml:space="preserve"> Tel. ++49+331 288 2540, email: nico.bauer@pik-potsdam.de</w:t>
      </w:r>
    </w:p>
  </w:footnote>
  <w:footnote w:id="2">
    <w:p w:rsidR="00205BD6" w:rsidRPr="00205BD6" w:rsidRDefault="00205BD6">
      <w:pPr>
        <w:pStyle w:val="FootnoteText"/>
      </w:pPr>
      <w:r>
        <w:rPr>
          <w:rStyle w:val="FootnoteReference"/>
        </w:rPr>
        <w:footnoteRef/>
      </w:r>
      <w:r>
        <w:t xml:space="preserve"> </w:t>
      </w:r>
      <w:r w:rsidRPr="00205BD6">
        <w:t xml:space="preserve">More information on </w:t>
      </w:r>
      <w:r>
        <w:t xml:space="preserve">ReMIND 1.5 can be found here: </w:t>
      </w:r>
      <w:r w:rsidRPr="00205BD6">
        <w:t>http://www.pik-potsdam.de/research/sustainable-solutions/models/remind/description-of-remind-v1.5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FF" w:rsidRPr="00B6741B" w:rsidRDefault="004C33FF">
    <w:pPr>
      <w:pStyle w:val="Header"/>
      <w:rPr>
        <w:lang w:val="de-DE"/>
      </w:rPr>
    </w:pPr>
    <w:r w:rsidRPr="00F765B0">
      <w:rPr>
        <w:rFonts w:ascii="Arial" w:hAnsi="Arial" w:cs="Arial"/>
        <w:i/>
        <w:sz w:val="18"/>
        <w:szCs w:val="18"/>
        <w:u w:val="single"/>
        <w:lang w:val="de-DE"/>
      </w:rPr>
      <w:t>Bauer et al, RoSE-SI</w:t>
    </w:r>
    <w:r>
      <w:rPr>
        <w:rFonts w:ascii="Arial" w:hAnsi="Arial" w:cs="Arial"/>
        <w:i/>
        <w:sz w:val="18"/>
        <w:szCs w:val="18"/>
        <w:u w:val="single"/>
        <w:lang w:val="de-DE"/>
      </w:rPr>
      <w:t>-SOM</w:t>
    </w:r>
    <w:r w:rsidRPr="00F765B0">
      <w:rPr>
        <w:rFonts w:ascii="Arial" w:hAnsi="Arial" w:cs="Arial"/>
        <w:i/>
        <w:sz w:val="18"/>
        <w:szCs w:val="18"/>
        <w:u w:val="single"/>
        <w:lang w:val="de-DE"/>
      </w:rPr>
      <w:tab/>
      <w:t xml:space="preserve">Version </w:t>
    </w:r>
    <w:r>
      <w:rPr>
        <w:rFonts w:ascii="Arial" w:hAnsi="Arial" w:cs="Arial"/>
        <w:i/>
        <w:sz w:val="18"/>
        <w:szCs w:val="18"/>
        <w:u w:val="single"/>
        <w:lang w:val="de-DE"/>
      </w:rPr>
      <w:t>Pre-Submission</w:t>
    </w:r>
    <w:r w:rsidRPr="00F765B0">
      <w:rPr>
        <w:rFonts w:ascii="Arial" w:hAnsi="Arial" w:cs="Arial"/>
        <w:i/>
        <w:sz w:val="18"/>
        <w:szCs w:val="18"/>
        <w:u w:val="single"/>
        <w:lang w:val="de-DE"/>
      </w:rPr>
      <w:tab/>
    </w:r>
    <w:r>
      <w:rPr>
        <w:rFonts w:ascii="Arial" w:hAnsi="Arial" w:cs="Arial"/>
        <w:i/>
        <w:sz w:val="18"/>
        <w:szCs w:val="18"/>
        <w:u w:val="single"/>
        <w:lang w:val="de-DE"/>
      </w:rPr>
      <w:t xml:space="preserve">page </w:t>
    </w:r>
    <w:sdt>
      <w:sdtPr>
        <w:rPr>
          <w:rFonts w:ascii="Arial" w:hAnsi="Arial" w:cs="Arial"/>
          <w:i/>
          <w:sz w:val="18"/>
          <w:szCs w:val="18"/>
          <w:u w:val="single"/>
        </w:rPr>
        <w:id w:val="1253936063"/>
        <w:docPartObj>
          <w:docPartGallery w:val="Page Numbers (Top of Page)"/>
          <w:docPartUnique/>
        </w:docPartObj>
      </w:sdtPr>
      <w:sdtEndPr>
        <w:rPr>
          <w:noProof/>
        </w:rPr>
      </w:sdtEndPr>
      <w:sdtContent>
        <w:r w:rsidRPr="00F765B0">
          <w:rPr>
            <w:rFonts w:ascii="Arial" w:hAnsi="Arial" w:cs="Arial"/>
            <w:i/>
            <w:sz w:val="18"/>
            <w:szCs w:val="18"/>
            <w:u w:val="single"/>
            <w:lang w:val="de-DE"/>
          </w:rPr>
          <w:t xml:space="preserve"> </w:t>
        </w:r>
        <w:r w:rsidRPr="00F765B0">
          <w:rPr>
            <w:rFonts w:ascii="Arial" w:hAnsi="Arial" w:cs="Arial"/>
            <w:i/>
            <w:sz w:val="18"/>
            <w:szCs w:val="18"/>
            <w:u w:val="single"/>
          </w:rPr>
          <w:fldChar w:fldCharType="begin"/>
        </w:r>
        <w:r w:rsidRPr="00F765B0">
          <w:rPr>
            <w:rFonts w:ascii="Arial" w:hAnsi="Arial" w:cs="Arial"/>
            <w:i/>
            <w:sz w:val="18"/>
            <w:szCs w:val="18"/>
            <w:u w:val="single"/>
            <w:lang w:val="de-DE"/>
          </w:rPr>
          <w:instrText xml:space="preserve"> PAGE   \* MERGEFORMAT </w:instrText>
        </w:r>
        <w:r w:rsidRPr="00F765B0">
          <w:rPr>
            <w:rFonts w:ascii="Arial" w:hAnsi="Arial" w:cs="Arial"/>
            <w:i/>
            <w:sz w:val="18"/>
            <w:szCs w:val="18"/>
            <w:u w:val="single"/>
          </w:rPr>
          <w:fldChar w:fldCharType="separate"/>
        </w:r>
        <w:r w:rsidR="00B47485">
          <w:rPr>
            <w:rFonts w:ascii="Arial" w:hAnsi="Arial" w:cs="Arial"/>
            <w:i/>
            <w:noProof/>
            <w:sz w:val="18"/>
            <w:szCs w:val="18"/>
            <w:u w:val="single"/>
            <w:lang w:val="de-DE"/>
          </w:rPr>
          <w:t>15</w:t>
        </w:r>
        <w:r w:rsidRPr="00F765B0">
          <w:rPr>
            <w:rFonts w:ascii="Arial" w:hAnsi="Arial" w:cs="Arial"/>
            <w:i/>
            <w:noProof/>
            <w:sz w:val="18"/>
            <w:szCs w:val="18"/>
            <w:u w:val="single"/>
          </w:rPr>
          <w:fldChar w:fldCharType="end"/>
        </w:r>
        <w:r w:rsidRPr="00F765B0">
          <w:rPr>
            <w:rFonts w:ascii="Arial" w:hAnsi="Arial" w:cs="Arial"/>
            <w:i/>
            <w:noProof/>
            <w:sz w:val="18"/>
            <w:szCs w:val="18"/>
            <w:u w:val="single"/>
            <w:lang w:val="de-DE"/>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82714"/>
    <w:multiLevelType w:val="hybridMultilevel"/>
    <w:tmpl w:val="DCDA4ACC"/>
    <w:lvl w:ilvl="0" w:tplc="B5C494C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B9"/>
    <w:rsid w:val="00025425"/>
    <w:rsid w:val="000402CE"/>
    <w:rsid w:val="00042DE4"/>
    <w:rsid w:val="0004670E"/>
    <w:rsid w:val="00071332"/>
    <w:rsid w:val="00073A14"/>
    <w:rsid w:val="0008111E"/>
    <w:rsid w:val="00084588"/>
    <w:rsid w:val="000919F2"/>
    <w:rsid w:val="000A2B03"/>
    <w:rsid w:val="000E1C14"/>
    <w:rsid w:val="000E358F"/>
    <w:rsid w:val="000E6B76"/>
    <w:rsid w:val="00102EB4"/>
    <w:rsid w:val="0011502A"/>
    <w:rsid w:val="0011541D"/>
    <w:rsid w:val="001816D3"/>
    <w:rsid w:val="00182B4E"/>
    <w:rsid w:val="001840AE"/>
    <w:rsid w:val="001909D5"/>
    <w:rsid w:val="001960FD"/>
    <w:rsid w:val="00197557"/>
    <w:rsid w:val="001B02D4"/>
    <w:rsid w:val="001B3DE7"/>
    <w:rsid w:val="001F30F9"/>
    <w:rsid w:val="0020173F"/>
    <w:rsid w:val="00205BD6"/>
    <w:rsid w:val="002112FE"/>
    <w:rsid w:val="00216843"/>
    <w:rsid w:val="00217CFF"/>
    <w:rsid w:val="00242A1B"/>
    <w:rsid w:val="0024542E"/>
    <w:rsid w:val="0026721A"/>
    <w:rsid w:val="00282413"/>
    <w:rsid w:val="00297A78"/>
    <w:rsid w:val="002B3C3B"/>
    <w:rsid w:val="002B74D1"/>
    <w:rsid w:val="002C3282"/>
    <w:rsid w:val="002C3653"/>
    <w:rsid w:val="002F084F"/>
    <w:rsid w:val="00301DA6"/>
    <w:rsid w:val="0031130E"/>
    <w:rsid w:val="00312C16"/>
    <w:rsid w:val="00336040"/>
    <w:rsid w:val="00336688"/>
    <w:rsid w:val="0037230F"/>
    <w:rsid w:val="003D0495"/>
    <w:rsid w:val="003D59A3"/>
    <w:rsid w:val="004049D9"/>
    <w:rsid w:val="0042383F"/>
    <w:rsid w:val="00443EB4"/>
    <w:rsid w:val="004504DB"/>
    <w:rsid w:val="004641D9"/>
    <w:rsid w:val="004714C6"/>
    <w:rsid w:val="004837A0"/>
    <w:rsid w:val="00485794"/>
    <w:rsid w:val="00491C31"/>
    <w:rsid w:val="004937FD"/>
    <w:rsid w:val="004965E5"/>
    <w:rsid w:val="004A2B5C"/>
    <w:rsid w:val="004A479C"/>
    <w:rsid w:val="004C0EE7"/>
    <w:rsid w:val="004C22A9"/>
    <w:rsid w:val="004C33FF"/>
    <w:rsid w:val="004C6C90"/>
    <w:rsid w:val="004C75A6"/>
    <w:rsid w:val="004D7C23"/>
    <w:rsid w:val="004F5688"/>
    <w:rsid w:val="00515E03"/>
    <w:rsid w:val="0052701E"/>
    <w:rsid w:val="00555096"/>
    <w:rsid w:val="005651C0"/>
    <w:rsid w:val="00565685"/>
    <w:rsid w:val="00581C41"/>
    <w:rsid w:val="00591290"/>
    <w:rsid w:val="00591413"/>
    <w:rsid w:val="005E13E8"/>
    <w:rsid w:val="00603986"/>
    <w:rsid w:val="00614B52"/>
    <w:rsid w:val="00622295"/>
    <w:rsid w:val="00624BB0"/>
    <w:rsid w:val="00641AD4"/>
    <w:rsid w:val="006565AE"/>
    <w:rsid w:val="00666DF7"/>
    <w:rsid w:val="006A3E74"/>
    <w:rsid w:val="006B3025"/>
    <w:rsid w:val="006D746E"/>
    <w:rsid w:val="006D7B71"/>
    <w:rsid w:val="006E56A1"/>
    <w:rsid w:val="006F296D"/>
    <w:rsid w:val="006F50FE"/>
    <w:rsid w:val="007529B1"/>
    <w:rsid w:val="007548F6"/>
    <w:rsid w:val="00767C94"/>
    <w:rsid w:val="00777164"/>
    <w:rsid w:val="00780EE1"/>
    <w:rsid w:val="0079516C"/>
    <w:rsid w:val="007A2838"/>
    <w:rsid w:val="007A7379"/>
    <w:rsid w:val="007B2644"/>
    <w:rsid w:val="007D68FB"/>
    <w:rsid w:val="007F725B"/>
    <w:rsid w:val="00815028"/>
    <w:rsid w:val="00821B91"/>
    <w:rsid w:val="0082516D"/>
    <w:rsid w:val="00830BBF"/>
    <w:rsid w:val="008647BE"/>
    <w:rsid w:val="008823FD"/>
    <w:rsid w:val="008A5868"/>
    <w:rsid w:val="008A5DB8"/>
    <w:rsid w:val="008E2EB3"/>
    <w:rsid w:val="008E677B"/>
    <w:rsid w:val="00901626"/>
    <w:rsid w:val="0090190E"/>
    <w:rsid w:val="00913A10"/>
    <w:rsid w:val="00916B84"/>
    <w:rsid w:val="00943C9E"/>
    <w:rsid w:val="0094697C"/>
    <w:rsid w:val="009505FB"/>
    <w:rsid w:val="0097588A"/>
    <w:rsid w:val="00975E25"/>
    <w:rsid w:val="009769FC"/>
    <w:rsid w:val="00995BC5"/>
    <w:rsid w:val="009A12D3"/>
    <w:rsid w:val="009C335E"/>
    <w:rsid w:val="009C4C6B"/>
    <w:rsid w:val="009E36AB"/>
    <w:rsid w:val="009F231E"/>
    <w:rsid w:val="00A176BA"/>
    <w:rsid w:val="00A33B8B"/>
    <w:rsid w:val="00A34AB6"/>
    <w:rsid w:val="00A40A1C"/>
    <w:rsid w:val="00A47878"/>
    <w:rsid w:val="00A515CB"/>
    <w:rsid w:val="00A55ABB"/>
    <w:rsid w:val="00A71445"/>
    <w:rsid w:val="00A71905"/>
    <w:rsid w:val="00A720D4"/>
    <w:rsid w:val="00A72F49"/>
    <w:rsid w:val="00AA20D6"/>
    <w:rsid w:val="00AB046C"/>
    <w:rsid w:val="00AB6C47"/>
    <w:rsid w:val="00AC14EA"/>
    <w:rsid w:val="00AE258C"/>
    <w:rsid w:val="00AE3F15"/>
    <w:rsid w:val="00B028A1"/>
    <w:rsid w:val="00B047A4"/>
    <w:rsid w:val="00B063FF"/>
    <w:rsid w:val="00B0798D"/>
    <w:rsid w:val="00B40030"/>
    <w:rsid w:val="00B47485"/>
    <w:rsid w:val="00B6741B"/>
    <w:rsid w:val="00B7006F"/>
    <w:rsid w:val="00B70199"/>
    <w:rsid w:val="00B76118"/>
    <w:rsid w:val="00B82818"/>
    <w:rsid w:val="00BA1D04"/>
    <w:rsid w:val="00BA78D6"/>
    <w:rsid w:val="00BE5E0A"/>
    <w:rsid w:val="00BF25CE"/>
    <w:rsid w:val="00C02FD9"/>
    <w:rsid w:val="00C245D2"/>
    <w:rsid w:val="00C35652"/>
    <w:rsid w:val="00C46A03"/>
    <w:rsid w:val="00C46C49"/>
    <w:rsid w:val="00C54F0A"/>
    <w:rsid w:val="00C75BD1"/>
    <w:rsid w:val="00C76737"/>
    <w:rsid w:val="00C92931"/>
    <w:rsid w:val="00C9464A"/>
    <w:rsid w:val="00CA012B"/>
    <w:rsid w:val="00CA7733"/>
    <w:rsid w:val="00CC5085"/>
    <w:rsid w:val="00D028FD"/>
    <w:rsid w:val="00D107AD"/>
    <w:rsid w:val="00D11C44"/>
    <w:rsid w:val="00D15745"/>
    <w:rsid w:val="00D47270"/>
    <w:rsid w:val="00D53F8C"/>
    <w:rsid w:val="00D75998"/>
    <w:rsid w:val="00D80C02"/>
    <w:rsid w:val="00D956A1"/>
    <w:rsid w:val="00DA035D"/>
    <w:rsid w:val="00DB0CEC"/>
    <w:rsid w:val="00DB0DCB"/>
    <w:rsid w:val="00DB5C19"/>
    <w:rsid w:val="00DC1DB9"/>
    <w:rsid w:val="00DE02A9"/>
    <w:rsid w:val="00DF050A"/>
    <w:rsid w:val="00E021ED"/>
    <w:rsid w:val="00E06BB9"/>
    <w:rsid w:val="00E177DF"/>
    <w:rsid w:val="00E24B74"/>
    <w:rsid w:val="00E46009"/>
    <w:rsid w:val="00E822EA"/>
    <w:rsid w:val="00EA0107"/>
    <w:rsid w:val="00EB3EBD"/>
    <w:rsid w:val="00EC4211"/>
    <w:rsid w:val="00EE1A18"/>
    <w:rsid w:val="00EE1C65"/>
    <w:rsid w:val="00EF5AFA"/>
    <w:rsid w:val="00F006CF"/>
    <w:rsid w:val="00F21E5B"/>
    <w:rsid w:val="00F40481"/>
    <w:rsid w:val="00F47935"/>
    <w:rsid w:val="00F61683"/>
    <w:rsid w:val="00F6424C"/>
    <w:rsid w:val="00F67657"/>
    <w:rsid w:val="00F67A3F"/>
    <w:rsid w:val="00F77160"/>
    <w:rsid w:val="00F77274"/>
    <w:rsid w:val="00FD3AE2"/>
    <w:rsid w:val="00FF6B72"/>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C4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1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19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19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C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19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19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19F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4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EB4"/>
    <w:rPr>
      <w:rFonts w:ascii="Tahoma" w:hAnsi="Tahoma" w:cs="Tahoma"/>
      <w:sz w:val="16"/>
      <w:szCs w:val="16"/>
    </w:rPr>
  </w:style>
  <w:style w:type="character" w:styleId="Strong">
    <w:name w:val="Strong"/>
    <w:basedOn w:val="DefaultParagraphFont"/>
    <w:uiPriority w:val="22"/>
    <w:qFormat/>
    <w:rsid w:val="006E56A1"/>
    <w:rPr>
      <w:b/>
      <w:bCs/>
    </w:rPr>
  </w:style>
  <w:style w:type="paragraph" w:styleId="Header">
    <w:name w:val="header"/>
    <w:basedOn w:val="Normal"/>
    <w:link w:val="HeaderChar"/>
    <w:uiPriority w:val="99"/>
    <w:unhideWhenUsed/>
    <w:rsid w:val="00B67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41B"/>
  </w:style>
  <w:style w:type="paragraph" w:styleId="Footer">
    <w:name w:val="footer"/>
    <w:basedOn w:val="Normal"/>
    <w:link w:val="FooterChar"/>
    <w:uiPriority w:val="99"/>
    <w:unhideWhenUsed/>
    <w:rsid w:val="00B67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41B"/>
  </w:style>
  <w:style w:type="paragraph" w:styleId="FootnoteText">
    <w:name w:val="footnote text"/>
    <w:basedOn w:val="Normal"/>
    <w:link w:val="FootnoteTextChar"/>
    <w:uiPriority w:val="99"/>
    <w:semiHidden/>
    <w:unhideWhenUsed/>
    <w:rsid w:val="00B6741B"/>
    <w:pPr>
      <w:spacing w:after="0" w:line="240" w:lineRule="auto"/>
      <w:ind w:firstLine="284"/>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674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741B"/>
    <w:rPr>
      <w:vertAlign w:val="superscript"/>
    </w:rPr>
  </w:style>
  <w:style w:type="paragraph" w:styleId="Title">
    <w:name w:val="Title"/>
    <w:basedOn w:val="Normal"/>
    <w:next w:val="Normal"/>
    <w:link w:val="TitleChar"/>
    <w:uiPriority w:val="10"/>
    <w:qFormat/>
    <w:rsid w:val="00976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9F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D68FB"/>
    <w:rPr>
      <w:sz w:val="16"/>
      <w:szCs w:val="16"/>
    </w:rPr>
  </w:style>
  <w:style w:type="paragraph" w:styleId="CommentText">
    <w:name w:val="annotation text"/>
    <w:basedOn w:val="Normal"/>
    <w:link w:val="CommentTextChar"/>
    <w:uiPriority w:val="99"/>
    <w:semiHidden/>
    <w:unhideWhenUsed/>
    <w:rsid w:val="007D68FB"/>
    <w:pPr>
      <w:spacing w:line="240" w:lineRule="auto"/>
    </w:pPr>
    <w:rPr>
      <w:sz w:val="20"/>
      <w:szCs w:val="20"/>
    </w:rPr>
  </w:style>
  <w:style w:type="character" w:customStyle="1" w:styleId="CommentTextChar">
    <w:name w:val="Comment Text Char"/>
    <w:basedOn w:val="DefaultParagraphFont"/>
    <w:link w:val="CommentText"/>
    <w:uiPriority w:val="99"/>
    <w:semiHidden/>
    <w:rsid w:val="007D68FB"/>
    <w:rPr>
      <w:sz w:val="20"/>
      <w:szCs w:val="20"/>
    </w:rPr>
  </w:style>
  <w:style w:type="paragraph" w:styleId="CommentSubject">
    <w:name w:val="annotation subject"/>
    <w:basedOn w:val="CommentText"/>
    <w:next w:val="CommentText"/>
    <w:link w:val="CommentSubjectChar"/>
    <w:uiPriority w:val="99"/>
    <w:semiHidden/>
    <w:unhideWhenUsed/>
    <w:rsid w:val="007D68FB"/>
    <w:rPr>
      <w:b/>
      <w:bCs/>
    </w:rPr>
  </w:style>
  <w:style w:type="character" w:customStyle="1" w:styleId="CommentSubjectChar">
    <w:name w:val="Comment Subject Char"/>
    <w:basedOn w:val="CommentTextChar"/>
    <w:link w:val="CommentSubject"/>
    <w:uiPriority w:val="99"/>
    <w:semiHidden/>
    <w:rsid w:val="007D68FB"/>
    <w:rPr>
      <w:b/>
      <w:bCs/>
      <w:sz w:val="20"/>
      <w:szCs w:val="20"/>
    </w:rPr>
  </w:style>
  <w:style w:type="paragraph" w:customStyle="1" w:styleId="Pa12">
    <w:name w:val="Pa12"/>
    <w:basedOn w:val="Normal"/>
    <w:next w:val="Normal"/>
    <w:uiPriority w:val="99"/>
    <w:rsid w:val="00821B91"/>
    <w:pPr>
      <w:autoSpaceDE w:val="0"/>
      <w:autoSpaceDN w:val="0"/>
      <w:adjustRightInd w:val="0"/>
      <w:spacing w:after="120" w:line="140" w:lineRule="atLeast"/>
      <w:ind w:firstLine="284"/>
      <w:jc w:val="both"/>
    </w:pPr>
    <w:rPr>
      <w:rFonts w:ascii="News Gothic MT OT" w:hAnsi="News Gothic MT OT"/>
      <w:sz w:val="24"/>
      <w:szCs w:val="24"/>
    </w:rPr>
  </w:style>
  <w:style w:type="table" w:styleId="MediumShading1-Accent1">
    <w:name w:val="Medium Shading 1 Accent 1"/>
    <w:basedOn w:val="TableNormal"/>
    <w:uiPriority w:val="63"/>
    <w:rsid w:val="00821B9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C4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1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19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19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C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19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19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19F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4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EB4"/>
    <w:rPr>
      <w:rFonts w:ascii="Tahoma" w:hAnsi="Tahoma" w:cs="Tahoma"/>
      <w:sz w:val="16"/>
      <w:szCs w:val="16"/>
    </w:rPr>
  </w:style>
  <w:style w:type="character" w:styleId="Strong">
    <w:name w:val="Strong"/>
    <w:basedOn w:val="DefaultParagraphFont"/>
    <w:uiPriority w:val="22"/>
    <w:qFormat/>
    <w:rsid w:val="006E56A1"/>
    <w:rPr>
      <w:b/>
      <w:bCs/>
    </w:rPr>
  </w:style>
  <w:style w:type="paragraph" w:styleId="Header">
    <w:name w:val="header"/>
    <w:basedOn w:val="Normal"/>
    <w:link w:val="HeaderChar"/>
    <w:uiPriority w:val="99"/>
    <w:unhideWhenUsed/>
    <w:rsid w:val="00B67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41B"/>
  </w:style>
  <w:style w:type="paragraph" w:styleId="Footer">
    <w:name w:val="footer"/>
    <w:basedOn w:val="Normal"/>
    <w:link w:val="FooterChar"/>
    <w:uiPriority w:val="99"/>
    <w:unhideWhenUsed/>
    <w:rsid w:val="00B67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41B"/>
  </w:style>
  <w:style w:type="paragraph" w:styleId="FootnoteText">
    <w:name w:val="footnote text"/>
    <w:basedOn w:val="Normal"/>
    <w:link w:val="FootnoteTextChar"/>
    <w:uiPriority w:val="99"/>
    <w:semiHidden/>
    <w:unhideWhenUsed/>
    <w:rsid w:val="00B6741B"/>
    <w:pPr>
      <w:spacing w:after="0" w:line="240" w:lineRule="auto"/>
      <w:ind w:firstLine="284"/>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674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741B"/>
    <w:rPr>
      <w:vertAlign w:val="superscript"/>
    </w:rPr>
  </w:style>
  <w:style w:type="paragraph" w:styleId="Title">
    <w:name w:val="Title"/>
    <w:basedOn w:val="Normal"/>
    <w:next w:val="Normal"/>
    <w:link w:val="TitleChar"/>
    <w:uiPriority w:val="10"/>
    <w:qFormat/>
    <w:rsid w:val="00976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9F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D68FB"/>
    <w:rPr>
      <w:sz w:val="16"/>
      <w:szCs w:val="16"/>
    </w:rPr>
  </w:style>
  <w:style w:type="paragraph" w:styleId="CommentText">
    <w:name w:val="annotation text"/>
    <w:basedOn w:val="Normal"/>
    <w:link w:val="CommentTextChar"/>
    <w:uiPriority w:val="99"/>
    <w:semiHidden/>
    <w:unhideWhenUsed/>
    <w:rsid w:val="007D68FB"/>
    <w:pPr>
      <w:spacing w:line="240" w:lineRule="auto"/>
    </w:pPr>
    <w:rPr>
      <w:sz w:val="20"/>
      <w:szCs w:val="20"/>
    </w:rPr>
  </w:style>
  <w:style w:type="character" w:customStyle="1" w:styleId="CommentTextChar">
    <w:name w:val="Comment Text Char"/>
    <w:basedOn w:val="DefaultParagraphFont"/>
    <w:link w:val="CommentText"/>
    <w:uiPriority w:val="99"/>
    <w:semiHidden/>
    <w:rsid w:val="007D68FB"/>
    <w:rPr>
      <w:sz w:val="20"/>
      <w:szCs w:val="20"/>
    </w:rPr>
  </w:style>
  <w:style w:type="paragraph" w:styleId="CommentSubject">
    <w:name w:val="annotation subject"/>
    <w:basedOn w:val="CommentText"/>
    <w:next w:val="CommentText"/>
    <w:link w:val="CommentSubjectChar"/>
    <w:uiPriority w:val="99"/>
    <w:semiHidden/>
    <w:unhideWhenUsed/>
    <w:rsid w:val="007D68FB"/>
    <w:rPr>
      <w:b/>
      <w:bCs/>
    </w:rPr>
  </w:style>
  <w:style w:type="character" w:customStyle="1" w:styleId="CommentSubjectChar">
    <w:name w:val="Comment Subject Char"/>
    <w:basedOn w:val="CommentTextChar"/>
    <w:link w:val="CommentSubject"/>
    <w:uiPriority w:val="99"/>
    <w:semiHidden/>
    <w:rsid w:val="007D68FB"/>
    <w:rPr>
      <w:b/>
      <w:bCs/>
      <w:sz w:val="20"/>
      <w:szCs w:val="20"/>
    </w:rPr>
  </w:style>
  <w:style w:type="paragraph" w:customStyle="1" w:styleId="Pa12">
    <w:name w:val="Pa12"/>
    <w:basedOn w:val="Normal"/>
    <w:next w:val="Normal"/>
    <w:uiPriority w:val="99"/>
    <w:rsid w:val="00821B91"/>
    <w:pPr>
      <w:autoSpaceDE w:val="0"/>
      <w:autoSpaceDN w:val="0"/>
      <w:adjustRightInd w:val="0"/>
      <w:spacing w:after="120" w:line="140" w:lineRule="atLeast"/>
      <w:ind w:firstLine="284"/>
      <w:jc w:val="both"/>
    </w:pPr>
    <w:rPr>
      <w:rFonts w:ascii="News Gothic MT OT" w:hAnsi="News Gothic MT OT"/>
      <w:sz w:val="24"/>
      <w:szCs w:val="24"/>
    </w:rPr>
  </w:style>
  <w:style w:type="table" w:styleId="MediumShading1-Accent1">
    <w:name w:val="Medium Shading 1 Accent 1"/>
    <w:basedOn w:val="TableNormal"/>
    <w:uiPriority w:val="63"/>
    <w:rsid w:val="00821B9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51A7-54FA-46FB-9514-E462ED21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PIK</Company>
  <LinksUpToDate>false</LinksUpToDate>
  <CharactersWithSpaces>18417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Bauer,PIK - Global Change &amp; Social Systems</dc:creator>
  <cp:lastModifiedBy>Nicolas Bauer,PIK - Global Change &amp; Social Systems</cp:lastModifiedBy>
  <cp:revision>2</cp:revision>
  <dcterms:created xsi:type="dcterms:W3CDTF">2013-09-17T09:50:00Z</dcterms:created>
  <dcterms:modified xsi:type="dcterms:W3CDTF">2013-09-17T09:50:00Z</dcterms:modified>
</cp:coreProperties>
</file>